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DCE" w:rsidRPr="003F30E1" w:rsidRDefault="00C72DCE" w:rsidP="00F779A1">
      <w:pPr>
        <w:jc w:val="center"/>
        <w:rPr>
          <w:rFonts w:asciiTheme="minorHAnsi" w:hAnsiTheme="minorHAnsi"/>
          <w:b/>
          <w:bCs/>
          <w:i/>
          <w:iCs/>
        </w:rPr>
      </w:pPr>
      <w:r w:rsidRPr="003F30E1">
        <w:rPr>
          <w:rFonts w:asciiTheme="minorHAnsi" w:hAnsiTheme="minorHAnsi"/>
          <w:sz w:val="56"/>
          <w:szCs w:val="56"/>
        </w:rPr>
        <w:t>Procurement &amp; Commercial</w:t>
      </w:r>
    </w:p>
    <w:p w:rsidR="00C72DCE" w:rsidRPr="003F30E1" w:rsidRDefault="00C72DCE" w:rsidP="00C72DCE">
      <w:pPr>
        <w:jc w:val="center"/>
        <w:rPr>
          <w:rFonts w:asciiTheme="minorHAnsi" w:hAnsiTheme="minorHAnsi"/>
          <w:sz w:val="56"/>
          <w:szCs w:val="56"/>
        </w:rPr>
      </w:pPr>
    </w:p>
    <w:p w:rsidR="00C72DCE" w:rsidRPr="003F30E1" w:rsidRDefault="0096118A" w:rsidP="00C72DCE">
      <w:pPr>
        <w:jc w:val="center"/>
        <w:rPr>
          <w:rFonts w:asciiTheme="minorHAnsi" w:hAnsiTheme="minorHAnsi"/>
          <w:sz w:val="56"/>
          <w:szCs w:val="56"/>
        </w:rPr>
      </w:pPr>
      <w:r>
        <w:rPr>
          <w:rFonts w:asciiTheme="minorHAnsi" w:hAnsiTheme="minorHAnsi"/>
          <w:sz w:val="56"/>
          <w:szCs w:val="56"/>
        </w:rPr>
        <w:t>RFI</w:t>
      </w:r>
      <w:r w:rsidR="0056551D" w:rsidRPr="003F30E1">
        <w:rPr>
          <w:rFonts w:asciiTheme="minorHAnsi" w:hAnsiTheme="minorHAnsi"/>
          <w:sz w:val="56"/>
          <w:szCs w:val="56"/>
        </w:rPr>
        <w:t xml:space="preserve"> Attachment </w:t>
      </w:r>
      <w:r w:rsidR="003F270D">
        <w:rPr>
          <w:rFonts w:asciiTheme="minorHAnsi" w:hAnsiTheme="minorHAnsi"/>
          <w:sz w:val="56"/>
          <w:szCs w:val="56"/>
        </w:rPr>
        <w:t>3</w:t>
      </w:r>
    </w:p>
    <w:p w:rsidR="00AF25A7" w:rsidRPr="003F30E1" w:rsidRDefault="003F270D" w:rsidP="00C72DCE">
      <w:pPr>
        <w:jc w:val="center"/>
        <w:rPr>
          <w:rFonts w:asciiTheme="minorHAnsi" w:hAnsiTheme="minorHAnsi"/>
          <w:sz w:val="56"/>
          <w:szCs w:val="56"/>
        </w:rPr>
      </w:pPr>
      <w:r>
        <w:rPr>
          <w:rFonts w:asciiTheme="minorHAnsi" w:hAnsiTheme="minorHAnsi"/>
          <w:sz w:val="56"/>
          <w:szCs w:val="56"/>
        </w:rPr>
        <w:t>Emptoris Guidance</w:t>
      </w:r>
    </w:p>
    <w:p w:rsidR="00C72DCE" w:rsidRPr="003F30E1" w:rsidRDefault="00C72DCE" w:rsidP="00C72DCE">
      <w:pPr>
        <w:jc w:val="center"/>
        <w:rPr>
          <w:rFonts w:asciiTheme="minorHAnsi" w:hAnsiTheme="minorHAnsi"/>
          <w:noProof/>
          <w:lang w:eastAsia="en-GB"/>
        </w:rPr>
      </w:pPr>
    </w:p>
    <w:p w:rsidR="00C72DCE" w:rsidRPr="003F30E1" w:rsidRDefault="00C72DCE" w:rsidP="00C72DCE">
      <w:pPr>
        <w:jc w:val="center"/>
        <w:rPr>
          <w:rFonts w:asciiTheme="minorHAnsi" w:hAnsiTheme="minorHAnsi"/>
          <w:noProof/>
          <w:lang w:eastAsia="en-GB"/>
        </w:rPr>
      </w:pPr>
    </w:p>
    <w:p w:rsidR="00C72DCE" w:rsidRPr="003F30E1" w:rsidRDefault="00C72DCE" w:rsidP="00C72DCE">
      <w:pPr>
        <w:jc w:val="center"/>
        <w:rPr>
          <w:rFonts w:asciiTheme="minorHAnsi" w:hAnsiTheme="minorHAnsi"/>
        </w:rPr>
      </w:pPr>
    </w:p>
    <w:p w:rsidR="0056551D" w:rsidRPr="003F30E1" w:rsidRDefault="00B8665F">
      <w:pPr>
        <w:spacing w:before="0" w:after="0"/>
        <w:rPr>
          <w:rFonts w:asciiTheme="minorHAnsi" w:hAnsiTheme="minorHAnsi"/>
          <w:b/>
          <w:color w:val="FF0000"/>
        </w:rPr>
      </w:pPr>
      <w:r w:rsidRPr="003F30E1">
        <w:rPr>
          <w:rFonts w:asciiTheme="minorHAnsi" w:hAnsiTheme="minorHAnsi"/>
          <w:b/>
          <w:color w:val="FF0000"/>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68200"/>
        <w:tblCellMar>
          <w:left w:w="57" w:type="dxa"/>
          <w:right w:w="57" w:type="dxa"/>
        </w:tblCellMar>
        <w:tblLook w:val="01E0" w:firstRow="1" w:lastRow="1" w:firstColumn="1" w:lastColumn="1" w:noHBand="0" w:noVBand="0"/>
      </w:tblPr>
      <w:tblGrid>
        <w:gridCol w:w="10300"/>
      </w:tblGrid>
      <w:tr w:rsidR="002564FF" w:rsidRPr="003F30E1" w:rsidTr="00FE00BD">
        <w:trPr>
          <w:trHeight w:val="387"/>
          <w:jc w:val="center"/>
        </w:trPr>
        <w:tc>
          <w:tcPr>
            <w:tcW w:w="10300" w:type="dxa"/>
            <w:tcBorders>
              <w:top w:val="single" w:sz="4" w:space="0" w:color="auto"/>
            </w:tcBorders>
            <w:shd w:val="clear" w:color="auto" w:fill="8DB3E2" w:themeFill="text2" w:themeFillTint="66"/>
            <w:vAlign w:val="center"/>
          </w:tcPr>
          <w:p w:rsidR="002564FF" w:rsidRPr="003F30E1" w:rsidRDefault="003F270D" w:rsidP="004F0017">
            <w:pPr>
              <w:pStyle w:val="List2"/>
              <w:ind w:left="0" w:firstLine="0"/>
              <w:rPr>
                <w:rFonts w:asciiTheme="minorHAnsi" w:hAnsiTheme="minorHAnsi"/>
                <w:b/>
                <w:sz w:val="22"/>
              </w:rPr>
            </w:pPr>
            <w:r>
              <w:rPr>
                <w:rFonts w:asciiTheme="minorHAnsi" w:hAnsiTheme="minorHAnsi"/>
                <w:b/>
                <w:sz w:val="22"/>
              </w:rPr>
              <w:lastRenderedPageBreak/>
              <w:t>Introduction</w:t>
            </w:r>
          </w:p>
        </w:tc>
      </w:tr>
      <w:tr w:rsidR="00FE00BD" w:rsidRPr="003F30E1" w:rsidTr="006C25DB">
        <w:tblPrEx>
          <w:shd w:val="clear" w:color="auto" w:fill="7DC23C"/>
        </w:tblPrEx>
        <w:trPr>
          <w:trHeight w:val="227"/>
          <w:jc w:val="center"/>
        </w:trPr>
        <w:tc>
          <w:tcPr>
            <w:tcW w:w="10300" w:type="dxa"/>
            <w:shd w:val="clear" w:color="auto" w:fill="auto"/>
          </w:tcPr>
          <w:p w:rsidR="003F270D" w:rsidRPr="003F270D" w:rsidRDefault="003F270D" w:rsidP="003F270D">
            <w:pPr>
              <w:jc w:val="both"/>
              <w:rPr>
                <w:rFonts w:asciiTheme="minorHAnsi" w:hAnsiTheme="minorHAnsi"/>
                <w:sz w:val="20"/>
              </w:rPr>
            </w:pPr>
            <w:r w:rsidRPr="003F270D">
              <w:rPr>
                <w:rFonts w:asciiTheme="minorHAnsi" w:hAnsiTheme="minorHAnsi"/>
                <w:sz w:val="20"/>
              </w:rPr>
              <w:t xml:space="preserve">SSE is using the e-Sourcing </w:t>
            </w:r>
            <w:r w:rsidR="00174CC6">
              <w:rPr>
                <w:rFonts w:asciiTheme="minorHAnsi" w:hAnsiTheme="minorHAnsi"/>
                <w:sz w:val="20"/>
              </w:rPr>
              <w:t xml:space="preserve">Suite, Emptoris, to manage this pre qualification </w:t>
            </w:r>
            <w:r w:rsidRPr="003F270D">
              <w:rPr>
                <w:rFonts w:asciiTheme="minorHAnsi" w:hAnsiTheme="minorHAnsi"/>
                <w:sz w:val="20"/>
              </w:rPr>
              <w:t>process.</w:t>
            </w:r>
          </w:p>
          <w:p w:rsidR="00FE00BD" w:rsidRPr="003F30E1" w:rsidRDefault="00174CC6" w:rsidP="00174CC6">
            <w:pPr>
              <w:rPr>
                <w:rFonts w:asciiTheme="minorHAnsi" w:hAnsiTheme="minorHAnsi"/>
              </w:rPr>
            </w:pPr>
            <w:r>
              <w:rPr>
                <w:rFonts w:asciiTheme="minorHAnsi" w:hAnsiTheme="minorHAnsi"/>
                <w:sz w:val="20"/>
              </w:rPr>
              <w:t>Your responses to the RFI</w:t>
            </w:r>
            <w:r w:rsidR="003F270D" w:rsidRPr="003F270D">
              <w:rPr>
                <w:rFonts w:asciiTheme="minorHAnsi" w:hAnsiTheme="minorHAnsi"/>
                <w:sz w:val="20"/>
              </w:rPr>
              <w:t xml:space="preserve"> (“RFx”) should be completed on-line in Emptoris as submissions in any other format or method will be rejected and not included in the evaluation. </w:t>
            </w:r>
          </w:p>
        </w:tc>
      </w:tr>
    </w:tbl>
    <w:p w:rsidR="00FE00BD" w:rsidRPr="003F30E1" w:rsidRDefault="00FE00BD">
      <w:pPr>
        <w:rPr>
          <w:rFonts w:asciiTheme="minorHAnsi" w:hAnsiTheme="minorHAnsi"/>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rsidTr="00FE00BD">
        <w:trPr>
          <w:trHeight w:val="227"/>
          <w:jc w:val="center"/>
        </w:trPr>
        <w:tc>
          <w:tcPr>
            <w:tcW w:w="1063" w:type="dxa"/>
            <w:shd w:val="clear" w:color="auto" w:fill="8DB3E2" w:themeFill="text2" w:themeFillTint="66"/>
          </w:tcPr>
          <w:p w:rsidR="00A70AD5" w:rsidRPr="003F30E1" w:rsidRDefault="00FE00BD" w:rsidP="005856D5">
            <w:pPr>
              <w:rPr>
                <w:rFonts w:asciiTheme="minorHAnsi" w:hAnsiTheme="minorHAnsi"/>
                <w:b/>
              </w:rPr>
            </w:pPr>
            <w:r w:rsidRPr="003F30E1">
              <w:rPr>
                <w:rFonts w:asciiTheme="minorHAnsi" w:hAnsiTheme="minorHAnsi"/>
                <w:b/>
              </w:rPr>
              <w:t>1</w:t>
            </w:r>
            <w:r w:rsidR="00C74198" w:rsidRPr="003F30E1">
              <w:rPr>
                <w:rFonts w:asciiTheme="minorHAnsi" w:hAnsiTheme="minorHAnsi"/>
                <w:b/>
              </w:rPr>
              <w:t>.</w:t>
            </w:r>
          </w:p>
        </w:tc>
        <w:tc>
          <w:tcPr>
            <w:tcW w:w="9237" w:type="dxa"/>
            <w:shd w:val="clear" w:color="auto" w:fill="8DB3E2" w:themeFill="text2" w:themeFillTint="66"/>
          </w:tcPr>
          <w:p w:rsidR="00A70AD5" w:rsidRPr="003F30E1" w:rsidRDefault="00564EBD" w:rsidP="005856D5">
            <w:pPr>
              <w:rPr>
                <w:rFonts w:asciiTheme="minorHAnsi" w:hAnsiTheme="minorHAnsi"/>
                <w:b/>
              </w:rPr>
            </w:pPr>
            <w:r>
              <w:rPr>
                <w:rFonts w:asciiTheme="minorHAnsi" w:hAnsiTheme="minorHAnsi"/>
                <w:b/>
              </w:rPr>
              <w:t>Guidance Notes</w:t>
            </w:r>
          </w:p>
        </w:tc>
      </w:tr>
      <w:tr w:rsidR="00A70AD5" w:rsidRPr="003F30E1" w:rsidTr="00FE00BD">
        <w:trPr>
          <w:trHeight w:val="227"/>
          <w:jc w:val="center"/>
        </w:trPr>
        <w:tc>
          <w:tcPr>
            <w:tcW w:w="1063" w:type="dxa"/>
            <w:shd w:val="clear" w:color="auto" w:fill="auto"/>
          </w:tcPr>
          <w:p w:rsidR="00A70AD5" w:rsidRPr="003F30E1" w:rsidRDefault="00A70AD5" w:rsidP="00076F95">
            <w:pPr>
              <w:rPr>
                <w:rFonts w:asciiTheme="minorHAnsi" w:hAnsiTheme="minorHAnsi"/>
              </w:rPr>
            </w:pPr>
          </w:p>
        </w:tc>
        <w:tc>
          <w:tcPr>
            <w:tcW w:w="9237" w:type="dxa"/>
            <w:shd w:val="clear" w:color="auto" w:fill="auto"/>
          </w:tcPr>
          <w:p w:rsidR="00A70AD5" w:rsidRPr="00564EBD" w:rsidRDefault="003F270D" w:rsidP="00174CC6">
            <w:pPr>
              <w:spacing w:before="0"/>
              <w:rPr>
                <w:sz w:val="20"/>
              </w:rPr>
            </w:pPr>
            <w:r w:rsidRPr="00564EBD">
              <w:rPr>
                <w:sz w:val="20"/>
              </w:rPr>
              <w:t xml:space="preserve">To participate in this </w:t>
            </w:r>
            <w:r w:rsidR="00174CC6">
              <w:rPr>
                <w:sz w:val="20"/>
              </w:rPr>
              <w:t>event</w:t>
            </w:r>
            <w:r w:rsidRPr="00564EBD">
              <w:rPr>
                <w:sz w:val="20"/>
              </w:rPr>
              <w:t>, you are required to submit a response wh</w:t>
            </w:r>
            <w:r w:rsidR="00174CC6">
              <w:rPr>
                <w:sz w:val="20"/>
              </w:rPr>
              <w:t>ich fully complies with this Request for Information (RFI)</w:t>
            </w:r>
            <w:r w:rsidRPr="00564EBD">
              <w:rPr>
                <w:sz w:val="20"/>
              </w:rPr>
              <w:t xml:space="preserve"> and its Attachments.</w:t>
            </w:r>
          </w:p>
        </w:tc>
      </w:tr>
      <w:tr w:rsidR="00A70AD5" w:rsidRPr="003F30E1" w:rsidTr="00FE00BD">
        <w:trPr>
          <w:trHeight w:val="341"/>
          <w:jc w:val="center"/>
        </w:trPr>
        <w:tc>
          <w:tcPr>
            <w:tcW w:w="1063" w:type="dxa"/>
            <w:shd w:val="clear" w:color="auto" w:fill="auto"/>
          </w:tcPr>
          <w:p w:rsidR="00A70AD5" w:rsidRPr="003F30E1" w:rsidRDefault="00A70AD5" w:rsidP="00076F95">
            <w:pPr>
              <w:rPr>
                <w:rFonts w:asciiTheme="minorHAnsi" w:hAnsiTheme="minorHAnsi"/>
              </w:rPr>
            </w:pPr>
          </w:p>
        </w:tc>
        <w:tc>
          <w:tcPr>
            <w:tcW w:w="9237" w:type="dxa"/>
            <w:shd w:val="clear" w:color="auto" w:fill="auto"/>
          </w:tcPr>
          <w:p w:rsidR="00A70AD5" w:rsidRPr="00564EBD" w:rsidRDefault="003F270D" w:rsidP="00174CC6">
            <w:pPr>
              <w:rPr>
                <w:sz w:val="20"/>
              </w:rPr>
            </w:pPr>
            <w:r w:rsidRPr="00564EBD">
              <w:rPr>
                <w:sz w:val="20"/>
              </w:rPr>
              <w:t xml:space="preserve">You are strongly advised to read through all documentation first to ensure understanding of how to submit a fully compliant </w:t>
            </w:r>
            <w:r w:rsidR="00174CC6">
              <w:rPr>
                <w:sz w:val="20"/>
              </w:rPr>
              <w:t>response</w:t>
            </w:r>
          </w:p>
        </w:tc>
      </w:tr>
      <w:tr w:rsidR="00A70AD5" w:rsidRPr="003F30E1" w:rsidTr="00FE00BD">
        <w:trPr>
          <w:trHeight w:val="227"/>
          <w:jc w:val="center"/>
        </w:trPr>
        <w:tc>
          <w:tcPr>
            <w:tcW w:w="1063" w:type="dxa"/>
            <w:shd w:val="clear" w:color="auto" w:fill="auto"/>
          </w:tcPr>
          <w:p w:rsidR="00A70AD5" w:rsidRPr="003F30E1" w:rsidRDefault="00A70AD5" w:rsidP="00076F95">
            <w:pPr>
              <w:rPr>
                <w:rFonts w:asciiTheme="minorHAnsi" w:hAnsiTheme="minorHAnsi"/>
              </w:rPr>
            </w:pPr>
          </w:p>
        </w:tc>
        <w:tc>
          <w:tcPr>
            <w:tcW w:w="9237" w:type="dxa"/>
            <w:shd w:val="clear" w:color="auto" w:fill="auto"/>
          </w:tcPr>
          <w:p w:rsidR="00A70AD5" w:rsidRPr="00564EBD" w:rsidRDefault="003F270D" w:rsidP="00076F95">
            <w:pPr>
              <w:pStyle w:val="ListParagraph"/>
              <w:ind w:left="0"/>
              <w:rPr>
                <w:rFonts w:ascii="Calibri" w:hAnsi="Calibri"/>
                <w:sz w:val="20"/>
                <w:szCs w:val="20"/>
              </w:rPr>
            </w:pPr>
            <w:r w:rsidRPr="00564EBD">
              <w:rPr>
                <w:rFonts w:ascii="Calibri" w:hAnsi="Calibri"/>
                <w:sz w:val="20"/>
                <w:szCs w:val="20"/>
              </w:rPr>
              <w:t>The information and documents that you are required to complete and return are detailed in the Questions and Questionnaires section and pricing must be completed via the Item bid fields in Emptoris.</w:t>
            </w:r>
          </w:p>
        </w:tc>
      </w:tr>
      <w:tr w:rsidR="003F270D" w:rsidRPr="003F30E1" w:rsidTr="00564EBD">
        <w:trPr>
          <w:trHeight w:val="585"/>
          <w:jc w:val="center"/>
        </w:trPr>
        <w:tc>
          <w:tcPr>
            <w:tcW w:w="1063" w:type="dxa"/>
            <w:shd w:val="clear" w:color="auto" w:fill="auto"/>
          </w:tcPr>
          <w:p w:rsidR="003F270D" w:rsidRPr="003F30E1" w:rsidRDefault="003F270D" w:rsidP="00076F95">
            <w:pPr>
              <w:rPr>
                <w:rFonts w:asciiTheme="minorHAnsi" w:hAnsiTheme="minorHAnsi"/>
              </w:rPr>
            </w:pPr>
          </w:p>
        </w:tc>
        <w:tc>
          <w:tcPr>
            <w:tcW w:w="9237" w:type="dxa"/>
            <w:shd w:val="clear" w:color="auto" w:fill="auto"/>
          </w:tcPr>
          <w:p w:rsidR="003F270D" w:rsidRPr="00564EBD" w:rsidRDefault="007C0EF2" w:rsidP="00076F95">
            <w:pPr>
              <w:pStyle w:val="ListParagraph"/>
              <w:ind w:left="0"/>
              <w:rPr>
                <w:rFonts w:ascii="Calibri" w:hAnsi="Calibri"/>
                <w:sz w:val="20"/>
                <w:szCs w:val="20"/>
              </w:rPr>
            </w:pPr>
            <w:r w:rsidRPr="00564EBD">
              <w:rPr>
                <w:rFonts w:ascii="Calibri" w:hAnsi="Calibri"/>
                <w:sz w:val="20"/>
                <w:szCs w:val="20"/>
              </w:rPr>
              <w:t>Any documents requested by the Authority must only be attached at the question level using the paperclip icon aligned to the question (not at Questionnaire level and not at RFx Attachments) in Emptoris using a unique, unambiguous and relevant file name as specified by SSE.  They must be submitted in the format requested by SSE.</w:t>
            </w:r>
          </w:p>
        </w:tc>
      </w:tr>
      <w:tr w:rsidR="003F270D" w:rsidRPr="003F30E1" w:rsidTr="00564EBD">
        <w:trPr>
          <w:trHeight w:val="1257"/>
          <w:jc w:val="center"/>
        </w:trPr>
        <w:tc>
          <w:tcPr>
            <w:tcW w:w="1063" w:type="dxa"/>
            <w:shd w:val="clear" w:color="auto" w:fill="auto"/>
          </w:tcPr>
          <w:p w:rsidR="003F270D" w:rsidRPr="003F30E1" w:rsidRDefault="003F270D" w:rsidP="00076F95">
            <w:pPr>
              <w:rPr>
                <w:rFonts w:asciiTheme="minorHAnsi" w:hAnsiTheme="minorHAnsi"/>
              </w:rPr>
            </w:pPr>
          </w:p>
        </w:tc>
        <w:tc>
          <w:tcPr>
            <w:tcW w:w="9237" w:type="dxa"/>
            <w:shd w:val="clear" w:color="auto" w:fill="auto"/>
          </w:tcPr>
          <w:p w:rsidR="00564EBD" w:rsidRDefault="007C0EF2" w:rsidP="00076F95">
            <w:pPr>
              <w:pStyle w:val="ListParagraph"/>
              <w:ind w:left="0"/>
              <w:rPr>
                <w:rFonts w:ascii="Calibri" w:hAnsi="Calibri"/>
                <w:sz w:val="20"/>
                <w:szCs w:val="20"/>
              </w:rPr>
            </w:pPr>
            <w:r w:rsidRPr="00564EBD">
              <w:rPr>
                <w:rFonts w:ascii="Calibri" w:hAnsi="Calibri"/>
                <w:sz w:val="20"/>
                <w:szCs w:val="20"/>
              </w:rPr>
              <w:t xml:space="preserve">All responses must be inserted into the relevant text fields unless an Attachment is additionally permitted, located </w:t>
            </w:r>
            <w:r w:rsidR="00564EBD">
              <w:rPr>
                <w:rFonts w:ascii="Calibri" w:hAnsi="Calibri"/>
                <w:sz w:val="20"/>
                <w:szCs w:val="20"/>
              </w:rPr>
              <w:t xml:space="preserve">beneath the relevant question. </w:t>
            </w:r>
            <w:r w:rsidRPr="00564EBD">
              <w:rPr>
                <w:rFonts w:ascii="Calibri" w:hAnsi="Calibri"/>
                <w:sz w:val="20"/>
                <w:szCs w:val="20"/>
              </w:rPr>
              <w:t>No Attachments are permitted except where specifical</w:t>
            </w:r>
            <w:r w:rsidR="00564EBD">
              <w:rPr>
                <w:rFonts w:ascii="Calibri" w:hAnsi="Calibri"/>
                <w:sz w:val="20"/>
                <w:szCs w:val="20"/>
              </w:rPr>
              <w:t xml:space="preserve">ly requested by the Authority. </w:t>
            </w:r>
          </w:p>
          <w:p w:rsidR="003F270D" w:rsidRPr="00564EBD" w:rsidRDefault="007C0EF2" w:rsidP="00174CC6">
            <w:pPr>
              <w:pStyle w:val="ListParagraph"/>
              <w:ind w:left="0"/>
              <w:rPr>
                <w:rFonts w:ascii="Calibri" w:hAnsi="Calibri"/>
                <w:sz w:val="20"/>
                <w:szCs w:val="20"/>
              </w:rPr>
            </w:pPr>
            <w:r w:rsidRPr="00564EBD">
              <w:rPr>
                <w:rFonts w:ascii="Calibri" w:hAnsi="Calibri"/>
                <w:sz w:val="20"/>
                <w:szCs w:val="20"/>
              </w:rPr>
              <w:t xml:space="preserve">Only information entered into the relevant text fields or information specifically requested by the Authority and uploaded as an Attachment will be taken into consideration </w:t>
            </w:r>
            <w:r w:rsidR="00174CC6">
              <w:rPr>
                <w:rFonts w:ascii="Calibri" w:hAnsi="Calibri"/>
                <w:sz w:val="20"/>
                <w:szCs w:val="20"/>
              </w:rPr>
              <w:t>for the purposes of evaluating this event</w:t>
            </w:r>
            <w:r w:rsidRPr="00564EBD">
              <w:rPr>
                <w:rFonts w:ascii="Calibri" w:hAnsi="Calibri"/>
                <w:sz w:val="20"/>
                <w:szCs w:val="20"/>
              </w:rPr>
              <w:t>.</w:t>
            </w:r>
          </w:p>
        </w:tc>
      </w:tr>
      <w:tr w:rsidR="003F270D" w:rsidRPr="003F30E1" w:rsidTr="00FE00BD">
        <w:trPr>
          <w:trHeight w:val="227"/>
          <w:jc w:val="center"/>
        </w:trPr>
        <w:tc>
          <w:tcPr>
            <w:tcW w:w="1063" w:type="dxa"/>
            <w:shd w:val="clear" w:color="auto" w:fill="auto"/>
          </w:tcPr>
          <w:p w:rsidR="003F270D" w:rsidRPr="003F30E1" w:rsidRDefault="003F270D" w:rsidP="00076F95">
            <w:pPr>
              <w:rPr>
                <w:rFonts w:asciiTheme="minorHAnsi" w:hAnsiTheme="minorHAnsi"/>
              </w:rPr>
            </w:pPr>
          </w:p>
        </w:tc>
        <w:tc>
          <w:tcPr>
            <w:tcW w:w="9237" w:type="dxa"/>
            <w:shd w:val="clear" w:color="auto" w:fill="auto"/>
          </w:tcPr>
          <w:p w:rsidR="003F270D" w:rsidRPr="00564EBD" w:rsidRDefault="007C0EF2" w:rsidP="00076F95">
            <w:pPr>
              <w:rPr>
                <w:sz w:val="20"/>
              </w:rPr>
            </w:pPr>
            <w:r w:rsidRPr="00564EBD">
              <w:rPr>
                <w:sz w:val="20"/>
              </w:rPr>
              <w:t>Where options are offered as a response to a question, you must select the relevant option from the drop down list.</w:t>
            </w:r>
            <w:r w:rsidR="00564EBD">
              <w:rPr>
                <w:sz w:val="20"/>
              </w:rPr>
              <w:t xml:space="preserve"> </w:t>
            </w:r>
            <w:r w:rsidRPr="00564EBD">
              <w:rPr>
                <w:sz w:val="20"/>
              </w:rPr>
              <w:t>You must not answer questions by cross referring to other answers or to other materials.  Each question answered must be complete in its own right.</w:t>
            </w:r>
          </w:p>
        </w:tc>
      </w:tr>
      <w:tr w:rsidR="007C0EF2" w:rsidRPr="003F30E1" w:rsidTr="00FE00BD">
        <w:trPr>
          <w:trHeight w:val="227"/>
          <w:jc w:val="center"/>
        </w:trPr>
        <w:tc>
          <w:tcPr>
            <w:tcW w:w="1063" w:type="dxa"/>
            <w:shd w:val="clear" w:color="auto" w:fill="auto"/>
          </w:tcPr>
          <w:p w:rsidR="007C0EF2" w:rsidRPr="003F30E1" w:rsidRDefault="007C0EF2" w:rsidP="00076F95">
            <w:pPr>
              <w:rPr>
                <w:rFonts w:asciiTheme="minorHAnsi" w:hAnsiTheme="minorHAnsi"/>
              </w:rPr>
            </w:pPr>
          </w:p>
        </w:tc>
        <w:tc>
          <w:tcPr>
            <w:tcW w:w="9237" w:type="dxa"/>
            <w:shd w:val="clear" w:color="auto" w:fill="auto"/>
          </w:tcPr>
          <w:p w:rsidR="007C0EF2" w:rsidRPr="00564EBD" w:rsidRDefault="007C0EF2" w:rsidP="00076F95">
            <w:pPr>
              <w:rPr>
                <w:sz w:val="20"/>
              </w:rPr>
            </w:pPr>
            <w:r w:rsidRPr="00564EBD">
              <w:rPr>
                <w:sz w:val="20"/>
              </w:rPr>
              <w:t>The Authority will disregard any part of a response to a question which exceeds the specified character limit (i.e. the excess will be disregarded, not the whole response).  The stated character limit includes spaces and punctuation.</w:t>
            </w:r>
          </w:p>
        </w:tc>
      </w:tr>
      <w:tr w:rsidR="007C0EF2" w:rsidRPr="003F30E1" w:rsidTr="00FE00BD">
        <w:trPr>
          <w:trHeight w:val="227"/>
          <w:jc w:val="center"/>
        </w:trPr>
        <w:tc>
          <w:tcPr>
            <w:tcW w:w="1063" w:type="dxa"/>
            <w:shd w:val="clear" w:color="auto" w:fill="auto"/>
          </w:tcPr>
          <w:p w:rsidR="007C0EF2" w:rsidRPr="003F30E1" w:rsidRDefault="007C0EF2" w:rsidP="00076F95">
            <w:pPr>
              <w:rPr>
                <w:rFonts w:asciiTheme="minorHAnsi" w:hAnsiTheme="minorHAnsi"/>
              </w:rPr>
            </w:pPr>
          </w:p>
        </w:tc>
        <w:tc>
          <w:tcPr>
            <w:tcW w:w="9237" w:type="dxa"/>
            <w:shd w:val="clear" w:color="auto" w:fill="auto"/>
          </w:tcPr>
          <w:p w:rsidR="007C0EF2" w:rsidRPr="00564EBD" w:rsidRDefault="007C0EF2" w:rsidP="00174CC6">
            <w:pPr>
              <w:rPr>
                <w:sz w:val="20"/>
              </w:rPr>
            </w:pPr>
            <w:r w:rsidRPr="00564EBD">
              <w:rPr>
                <w:sz w:val="20"/>
              </w:rPr>
              <w:t xml:space="preserve">You are responsible for ensuring that your </w:t>
            </w:r>
            <w:r w:rsidR="00174CC6">
              <w:rPr>
                <w:sz w:val="20"/>
              </w:rPr>
              <w:t xml:space="preserve">response </w:t>
            </w:r>
            <w:r w:rsidRPr="00564EBD">
              <w:rPr>
                <w:sz w:val="20"/>
              </w:rPr>
              <w:t>has been successfully completed in Emptoris prior to the submission deadline.</w:t>
            </w:r>
          </w:p>
        </w:tc>
      </w:tr>
      <w:tr w:rsidR="007C0EF2" w:rsidRPr="003F30E1" w:rsidTr="00FE00BD">
        <w:trPr>
          <w:trHeight w:val="227"/>
          <w:jc w:val="center"/>
        </w:trPr>
        <w:tc>
          <w:tcPr>
            <w:tcW w:w="1063" w:type="dxa"/>
            <w:shd w:val="clear" w:color="auto" w:fill="auto"/>
          </w:tcPr>
          <w:p w:rsidR="007C0EF2" w:rsidRPr="003F30E1" w:rsidRDefault="007C0EF2" w:rsidP="00076F95">
            <w:pPr>
              <w:rPr>
                <w:rFonts w:asciiTheme="minorHAnsi" w:hAnsiTheme="minorHAnsi"/>
              </w:rPr>
            </w:pPr>
          </w:p>
        </w:tc>
        <w:tc>
          <w:tcPr>
            <w:tcW w:w="9237" w:type="dxa"/>
            <w:shd w:val="clear" w:color="auto" w:fill="auto"/>
          </w:tcPr>
          <w:p w:rsidR="007C0EF2" w:rsidRPr="00564EBD" w:rsidRDefault="007C0EF2" w:rsidP="00174CC6">
            <w:pPr>
              <w:rPr>
                <w:sz w:val="20"/>
              </w:rPr>
            </w:pPr>
            <w:r w:rsidRPr="00564EBD">
              <w:rPr>
                <w:sz w:val="20"/>
              </w:rPr>
              <w:t xml:space="preserve">You may withdraw from this Procurement by choosing not to submit a </w:t>
            </w:r>
            <w:r w:rsidR="00174CC6">
              <w:rPr>
                <w:sz w:val="20"/>
              </w:rPr>
              <w:t xml:space="preserve">response </w:t>
            </w:r>
            <w:r w:rsidRPr="00564EBD">
              <w:rPr>
                <w:sz w:val="20"/>
              </w:rPr>
              <w:t>by the submission deadline or by declining the Invitation within Emptoris.</w:t>
            </w:r>
          </w:p>
        </w:tc>
      </w:tr>
    </w:tbl>
    <w:p w:rsidR="00C74198" w:rsidRPr="003F30E1" w:rsidRDefault="00C74198" w:rsidP="00076F95">
      <w:pPr>
        <w:rPr>
          <w:rFonts w:asciiTheme="minorHAnsi" w:hAnsiTheme="minorHAnsi"/>
        </w:rPr>
      </w:pPr>
    </w:p>
    <w:p w:rsidR="00C74198" w:rsidRPr="003F30E1" w:rsidRDefault="00C74198" w:rsidP="00076F95">
      <w:pPr>
        <w:spacing w:before="0" w:after="0"/>
        <w:rPr>
          <w:rFonts w:asciiTheme="minorHAnsi" w:hAnsiTheme="minorHAnsi"/>
        </w:rPr>
      </w:pPr>
      <w:r w:rsidRPr="003F30E1">
        <w:rPr>
          <w:rFonts w:asciiTheme="minorHAnsi" w:hAnsiTheme="minorHAnsi"/>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rsidTr="00FE00BD">
        <w:trPr>
          <w:trHeight w:val="227"/>
          <w:jc w:val="center"/>
        </w:trPr>
        <w:tc>
          <w:tcPr>
            <w:tcW w:w="1063" w:type="dxa"/>
            <w:shd w:val="clear" w:color="auto" w:fill="8DB3E2" w:themeFill="text2" w:themeFillTint="66"/>
          </w:tcPr>
          <w:p w:rsidR="00A70AD5" w:rsidRPr="003F30E1" w:rsidRDefault="00FE00BD" w:rsidP="00076F95">
            <w:pPr>
              <w:rPr>
                <w:rFonts w:asciiTheme="minorHAnsi" w:hAnsiTheme="minorHAnsi"/>
                <w:b/>
              </w:rPr>
            </w:pPr>
            <w:r w:rsidRPr="003F30E1">
              <w:rPr>
                <w:rFonts w:asciiTheme="minorHAnsi" w:hAnsiTheme="minorHAnsi"/>
                <w:b/>
              </w:rPr>
              <w:lastRenderedPageBreak/>
              <w:t>2</w:t>
            </w:r>
            <w:r w:rsidR="00C74198" w:rsidRPr="003F30E1">
              <w:rPr>
                <w:rFonts w:asciiTheme="minorHAnsi" w:hAnsiTheme="minorHAnsi"/>
                <w:b/>
              </w:rPr>
              <w:t>.</w:t>
            </w:r>
          </w:p>
        </w:tc>
        <w:tc>
          <w:tcPr>
            <w:tcW w:w="9237" w:type="dxa"/>
            <w:shd w:val="clear" w:color="auto" w:fill="8DB3E2" w:themeFill="text2" w:themeFillTint="66"/>
          </w:tcPr>
          <w:p w:rsidR="00A70AD5" w:rsidRPr="003F30E1" w:rsidRDefault="007C0EF2" w:rsidP="00076F95">
            <w:pPr>
              <w:rPr>
                <w:rFonts w:asciiTheme="minorHAnsi" w:hAnsiTheme="minorHAnsi"/>
                <w:b/>
              </w:rPr>
            </w:pPr>
            <w:r>
              <w:rPr>
                <w:rFonts w:asciiTheme="minorHAnsi" w:hAnsiTheme="minorHAnsi"/>
                <w:b/>
              </w:rPr>
              <w:t>System Guidance</w:t>
            </w:r>
          </w:p>
        </w:tc>
      </w:tr>
      <w:tr w:rsidR="00A70AD5" w:rsidRPr="003F30E1" w:rsidTr="00FE00BD">
        <w:trPr>
          <w:trHeight w:val="227"/>
          <w:jc w:val="center"/>
        </w:trPr>
        <w:tc>
          <w:tcPr>
            <w:tcW w:w="1063" w:type="dxa"/>
            <w:shd w:val="clear" w:color="auto" w:fill="auto"/>
          </w:tcPr>
          <w:p w:rsidR="00A70AD5" w:rsidRPr="003F30E1" w:rsidRDefault="00A70AD5" w:rsidP="00076F95">
            <w:pPr>
              <w:spacing w:before="0" w:after="0"/>
              <w:rPr>
                <w:rFonts w:asciiTheme="minorHAnsi" w:hAnsiTheme="minorHAnsi"/>
              </w:rPr>
            </w:pPr>
          </w:p>
        </w:tc>
        <w:tc>
          <w:tcPr>
            <w:tcW w:w="9237" w:type="dxa"/>
            <w:shd w:val="clear" w:color="auto" w:fill="auto"/>
          </w:tcPr>
          <w:p w:rsidR="00C61247" w:rsidRDefault="00C61247" w:rsidP="00076F95">
            <w:pPr>
              <w:spacing w:before="0" w:after="0"/>
              <w:rPr>
                <w:rFonts w:asciiTheme="minorHAnsi" w:hAnsiTheme="minorHAnsi"/>
                <w:sz w:val="20"/>
              </w:rPr>
            </w:pPr>
          </w:p>
          <w:p w:rsidR="002669BA" w:rsidRDefault="00C61247" w:rsidP="00076F95">
            <w:pPr>
              <w:spacing w:before="0" w:after="0"/>
              <w:rPr>
                <w:rFonts w:asciiTheme="minorHAnsi" w:hAnsiTheme="minorHAnsi"/>
                <w:sz w:val="20"/>
              </w:rPr>
            </w:pPr>
            <w:r>
              <w:rPr>
                <w:rFonts w:asciiTheme="minorHAnsi" w:hAnsiTheme="minorHAnsi"/>
                <w:sz w:val="20"/>
              </w:rPr>
              <w:t xml:space="preserve">SSE / SGN Emptoris – </w:t>
            </w:r>
            <w:hyperlink r:id="rId8" w:anchor="/login/loginPage" w:history="1">
              <w:r w:rsidRPr="00CB5064">
                <w:rPr>
                  <w:rStyle w:val="Hyperlink"/>
                  <w:rFonts w:asciiTheme="minorHAnsi" w:hAnsiTheme="minorHAnsi" w:cs="Times New Roman"/>
                  <w:sz w:val="20"/>
                  <w:szCs w:val="20"/>
                </w:rPr>
                <w:t>https://sse-sgn.em</w:t>
              </w:r>
              <w:r w:rsidRPr="00CB5064">
                <w:rPr>
                  <w:rStyle w:val="Hyperlink"/>
                  <w:rFonts w:asciiTheme="minorHAnsi" w:hAnsiTheme="minorHAnsi" w:cs="Times New Roman"/>
                  <w:sz w:val="20"/>
                  <w:szCs w:val="20"/>
                </w:rPr>
                <w:t>p</w:t>
              </w:r>
              <w:r w:rsidRPr="00CB5064">
                <w:rPr>
                  <w:rStyle w:val="Hyperlink"/>
                  <w:rFonts w:asciiTheme="minorHAnsi" w:hAnsiTheme="minorHAnsi" w:cs="Times New Roman"/>
                  <w:sz w:val="20"/>
                  <w:szCs w:val="20"/>
                </w:rPr>
                <w:t>toris.com/emptoris/sso_login.jsp#/login/loginPage</w:t>
              </w:r>
            </w:hyperlink>
          </w:p>
          <w:p w:rsidR="00C61247" w:rsidRPr="003F30E1" w:rsidRDefault="00C61247" w:rsidP="00076F95">
            <w:pPr>
              <w:spacing w:before="0" w:after="0"/>
              <w:rPr>
                <w:rFonts w:asciiTheme="minorHAnsi" w:hAnsiTheme="minorHAnsi"/>
                <w:sz w:val="20"/>
              </w:rPr>
            </w:pPr>
          </w:p>
        </w:tc>
      </w:tr>
      <w:tr w:rsidR="002669BA" w:rsidRPr="003F30E1" w:rsidTr="00FE00BD">
        <w:trPr>
          <w:trHeight w:val="227"/>
          <w:jc w:val="center"/>
        </w:trPr>
        <w:tc>
          <w:tcPr>
            <w:tcW w:w="1063" w:type="dxa"/>
            <w:shd w:val="clear" w:color="auto" w:fill="auto"/>
          </w:tcPr>
          <w:p w:rsidR="002669BA" w:rsidRPr="003F30E1" w:rsidRDefault="002669BA" w:rsidP="00076F95">
            <w:pPr>
              <w:spacing w:before="0" w:after="0"/>
              <w:rPr>
                <w:rFonts w:asciiTheme="minorHAnsi" w:hAnsiTheme="minorHAnsi"/>
              </w:rPr>
            </w:pPr>
          </w:p>
        </w:tc>
        <w:tc>
          <w:tcPr>
            <w:tcW w:w="9237" w:type="dxa"/>
            <w:shd w:val="clear" w:color="auto" w:fill="auto"/>
          </w:tcPr>
          <w:p w:rsidR="002669BA" w:rsidRPr="002669BA" w:rsidRDefault="002669BA" w:rsidP="00076F95">
            <w:pPr>
              <w:spacing w:before="0" w:after="0"/>
              <w:rPr>
                <w:rFonts w:asciiTheme="minorHAnsi" w:hAnsiTheme="minorHAnsi"/>
                <w:sz w:val="20"/>
              </w:rPr>
            </w:pPr>
            <w:r w:rsidRPr="002669BA">
              <w:rPr>
                <w:rFonts w:asciiTheme="minorHAnsi" w:hAnsiTheme="minorHAnsi"/>
                <w:sz w:val="20"/>
              </w:rPr>
              <w:t>You can use Emptoris Sourcing on any of the following browsers:</w:t>
            </w:r>
          </w:p>
          <w:p w:rsidR="002669BA" w:rsidRPr="002669BA" w:rsidRDefault="002669BA" w:rsidP="00076F95">
            <w:pPr>
              <w:spacing w:before="0" w:after="0"/>
              <w:rPr>
                <w:rFonts w:asciiTheme="minorHAnsi" w:hAnsiTheme="minorHAnsi"/>
                <w:sz w:val="20"/>
              </w:rPr>
            </w:pPr>
            <w:r w:rsidRPr="002669BA">
              <w:rPr>
                <w:rFonts w:asciiTheme="minorHAnsi" w:hAnsiTheme="minorHAnsi"/>
                <w:sz w:val="20"/>
              </w:rPr>
              <w:t>Microsoft Internet Explorer (IE) 8</w:t>
            </w:r>
            <w:r w:rsidR="00C61247">
              <w:rPr>
                <w:rFonts w:asciiTheme="minorHAnsi" w:hAnsiTheme="minorHAnsi"/>
                <w:sz w:val="20"/>
              </w:rPr>
              <w:t xml:space="preserve"> &amp; above</w:t>
            </w:r>
          </w:p>
          <w:p w:rsidR="002669BA" w:rsidRPr="002669BA" w:rsidRDefault="002669BA" w:rsidP="00076F95">
            <w:pPr>
              <w:spacing w:before="0" w:after="0"/>
              <w:rPr>
                <w:rFonts w:asciiTheme="minorHAnsi" w:hAnsiTheme="minorHAnsi"/>
                <w:sz w:val="20"/>
              </w:rPr>
            </w:pPr>
            <w:r w:rsidRPr="002669BA">
              <w:rPr>
                <w:rFonts w:asciiTheme="minorHAnsi" w:hAnsiTheme="minorHAnsi"/>
                <w:sz w:val="20"/>
              </w:rPr>
              <w:t>Mozilla Firefox 12</w:t>
            </w:r>
            <w:r w:rsidR="00C61247">
              <w:rPr>
                <w:rFonts w:asciiTheme="minorHAnsi" w:hAnsiTheme="minorHAnsi"/>
                <w:sz w:val="20"/>
              </w:rPr>
              <w:t xml:space="preserve"> &amp; above</w:t>
            </w:r>
          </w:p>
          <w:p w:rsidR="002669BA" w:rsidRPr="002669BA" w:rsidRDefault="002669BA" w:rsidP="00076F95">
            <w:pPr>
              <w:spacing w:before="0" w:after="0"/>
              <w:rPr>
                <w:rFonts w:asciiTheme="minorHAnsi" w:hAnsiTheme="minorHAnsi"/>
                <w:sz w:val="20"/>
              </w:rPr>
            </w:pPr>
            <w:r w:rsidRPr="002669BA">
              <w:rPr>
                <w:rFonts w:asciiTheme="minorHAnsi" w:hAnsiTheme="minorHAnsi"/>
                <w:sz w:val="20"/>
              </w:rPr>
              <w:t>Google Chrome 18</w:t>
            </w:r>
            <w:r w:rsidR="00C61247">
              <w:rPr>
                <w:rFonts w:asciiTheme="minorHAnsi" w:hAnsiTheme="minorHAnsi"/>
                <w:sz w:val="20"/>
              </w:rPr>
              <w:t xml:space="preserve"> &amp; above</w:t>
            </w:r>
          </w:p>
          <w:p w:rsidR="002669BA" w:rsidRPr="00C61247" w:rsidRDefault="00C61247" w:rsidP="00076F95">
            <w:pPr>
              <w:spacing w:before="0" w:after="0"/>
              <w:rPr>
                <w:rFonts w:asciiTheme="minorHAnsi" w:hAnsiTheme="minorHAnsi"/>
                <w:b/>
                <w:i/>
                <w:sz w:val="20"/>
              </w:rPr>
            </w:pPr>
            <w:r w:rsidRPr="00C61247">
              <w:rPr>
                <w:rFonts w:asciiTheme="minorHAnsi" w:hAnsiTheme="minorHAnsi"/>
                <w:b/>
                <w:i/>
                <w:sz w:val="20"/>
              </w:rPr>
              <w:t xml:space="preserve">N.B. </w:t>
            </w:r>
            <w:r w:rsidR="002669BA" w:rsidRPr="00C61247">
              <w:rPr>
                <w:rFonts w:asciiTheme="minorHAnsi" w:hAnsiTheme="minorHAnsi"/>
                <w:b/>
                <w:i/>
                <w:sz w:val="20"/>
              </w:rPr>
              <w:t>While you are working with Emptoris Sourcing, you should disable any pop-up blocker</w:t>
            </w:r>
            <w:r w:rsidRPr="00C61247">
              <w:rPr>
                <w:rFonts w:asciiTheme="minorHAnsi" w:hAnsiTheme="minorHAnsi"/>
                <w:b/>
                <w:i/>
                <w:sz w:val="20"/>
              </w:rPr>
              <w:t xml:space="preserve"> </w:t>
            </w:r>
            <w:r w:rsidR="002669BA" w:rsidRPr="00C61247">
              <w:rPr>
                <w:rFonts w:asciiTheme="minorHAnsi" w:hAnsiTheme="minorHAnsi"/>
                <w:b/>
                <w:i/>
                <w:sz w:val="20"/>
              </w:rPr>
              <w:t>software</w:t>
            </w:r>
          </w:p>
        </w:tc>
      </w:tr>
      <w:tr w:rsidR="00C61247" w:rsidRPr="003F30E1" w:rsidTr="00C61247">
        <w:trPr>
          <w:trHeight w:val="227"/>
          <w:jc w:val="center"/>
        </w:trPr>
        <w:tc>
          <w:tcPr>
            <w:tcW w:w="1063" w:type="dxa"/>
            <w:shd w:val="clear" w:color="auto" w:fill="DBE5F1" w:themeFill="accent1" w:themeFillTint="33"/>
          </w:tcPr>
          <w:p w:rsidR="00C61247" w:rsidRPr="00C61247" w:rsidRDefault="00C61247" w:rsidP="00076F95">
            <w:pPr>
              <w:rPr>
                <w:rFonts w:asciiTheme="minorHAnsi" w:hAnsiTheme="minorHAnsi"/>
                <w:b/>
              </w:rPr>
            </w:pPr>
            <w:r w:rsidRPr="00C61247">
              <w:rPr>
                <w:rFonts w:asciiTheme="minorHAnsi" w:hAnsiTheme="minorHAnsi"/>
                <w:b/>
              </w:rPr>
              <w:t>2.1</w:t>
            </w:r>
          </w:p>
        </w:tc>
        <w:tc>
          <w:tcPr>
            <w:tcW w:w="9237" w:type="dxa"/>
            <w:shd w:val="clear" w:color="auto" w:fill="DBE5F1" w:themeFill="accent1" w:themeFillTint="33"/>
          </w:tcPr>
          <w:p w:rsidR="00C61247" w:rsidRPr="00C61247" w:rsidRDefault="00C61247" w:rsidP="00076F95">
            <w:pPr>
              <w:rPr>
                <w:rFonts w:asciiTheme="minorHAnsi" w:hAnsiTheme="minorHAnsi"/>
                <w:b/>
              </w:rPr>
            </w:pPr>
            <w:r w:rsidRPr="00C61247">
              <w:rPr>
                <w:rFonts w:asciiTheme="minorHAnsi" w:hAnsiTheme="minorHAnsi"/>
                <w:b/>
              </w:rPr>
              <w:t>General Instructions</w:t>
            </w:r>
          </w:p>
        </w:tc>
      </w:tr>
      <w:tr w:rsidR="002669BA" w:rsidRPr="003F30E1" w:rsidTr="00FE00BD">
        <w:trPr>
          <w:trHeight w:val="227"/>
          <w:jc w:val="center"/>
        </w:trPr>
        <w:tc>
          <w:tcPr>
            <w:tcW w:w="1063" w:type="dxa"/>
            <w:shd w:val="clear" w:color="auto" w:fill="auto"/>
          </w:tcPr>
          <w:p w:rsidR="002669BA" w:rsidRPr="003F30E1" w:rsidRDefault="008618FB" w:rsidP="00076F95">
            <w:pPr>
              <w:spacing w:before="0" w:after="0"/>
              <w:rPr>
                <w:rFonts w:asciiTheme="minorHAnsi" w:hAnsiTheme="minorHAnsi"/>
              </w:rPr>
            </w:pPr>
            <w:r>
              <w:rPr>
                <w:rFonts w:asciiTheme="minorHAnsi" w:hAnsiTheme="minorHAnsi"/>
              </w:rPr>
              <w:t>2.1</w:t>
            </w:r>
          </w:p>
        </w:tc>
        <w:tc>
          <w:tcPr>
            <w:tcW w:w="9237" w:type="dxa"/>
            <w:shd w:val="clear" w:color="auto" w:fill="auto"/>
          </w:tcPr>
          <w:p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view invitations,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Invitations.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On the Accepted tab, click the folder corresponding to the RFx that you want to</w:t>
            </w:r>
            <w:r w:rsidR="00C61247">
              <w:rPr>
                <w:rFonts w:asciiTheme="minorHAnsi" w:hAnsiTheme="minorHAnsi"/>
                <w:sz w:val="20"/>
              </w:rPr>
              <w:t xml:space="preserve"> </w:t>
            </w:r>
            <w:r w:rsidRPr="008618FB">
              <w:rPr>
                <w:rFonts w:asciiTheme="minorHAnsi" w:hAnsiTheme="minorHAnsi"/>
                <w:sz w:val="20"/>
              </w:rPr>
              <w:t>view. The lower frame displays the Questionnaires and Items.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Click the folder corresponding to the Questionnaires/Items. The lower frame displays</w:t>
            </w:r>
            <w:r w:rsidR="00C61247">
              <w:rPr>
                <w:rFonts w:asciiTheme="minorHAnsi" w:hAnsiTheme="minorHAnsi"/>
                <w:sz w:val="20"/>
              </w:rPr>
              <w:t xml:space="preserve"> </w:t>
            </w:r>
            <w:r w:rsidRPr="008618FB">
              <w:rPr>
                <w:rFonts w:asciiTheme="minorHAnsi" w:hAnsiTheme="minorHAnsi"/>
                <w:sz w:val="20"/>
              </w:rPr>
              <w:t>the agents invited for the Questionnaires/Items.</w:t>
            </w:r>
          </w:p>
          <w:p w:rsidR="002669BA" w:rsidRPr="00C61247" w:rsidRDefault="00C61247" w:rsidP="00076F95">
            <w:pPr>
              <w:spacing w:before="0" w:after="0"/>
              <w:rPr>
                <w:rFonts w:asciiTheme="minorHAnsi" w:hAnsiTheme="minorHAnsi"/>
                <w:b/>
                <w:i/>
                <w:sz w:val="20"/>
              </w:rPr>
            </w:pPr>
            <w:r w:rsidRPr="00C61247">
              <w:rPr>
                <w:rFonts w:asciiTheme="minorHAnsi" w:hAnsiTheme="minorHAnsi"/>
                <w:b/>
                <w:i/>
                <w:sz w:val="20"/>
              </w:rPr>
              <w:t>N.B.</w:t>
            </w:r>
            <w:r w:rsidR="008618FB" w:rsidRPr="00C61247">
              <w:rPr>
                <w:rFonts w:asciiTheme="minorHAnsi" w:hAnsiTheme="minorHAnsi"/>
                <w:b/>
                <w:i/>
                <w:sz w:val="20"/>
              </w:rPr>
              <w:t xml:space="preserve"> Similarly you can view the Declined and the New invitations from the Declined and New</w:t>
            </w:r>
            <w:r w:rsidRPr="00C61247">
              <w:rPr>
                <w:rFonts w:asciiTheme="minorHAnsi" w:hAnsiTheme="minorHAnsi"/>
                <w:b/>
                <w:i/>
                <w:sz w:val="20"/>
              </w:rPr>
              <w:t xml:space="preserve"> </w:t>
            </w:r>
            <w:r w:rsidR="008618FB" w:rsidRPr="00C61247">
              <w:rPr>
                <w:rFonts w:asciiTheme="minorHAnsi" w:hAnsiTheme="minorHAnsi"/>
                <w:b/>
                <w:i/>
                <w:sz w:val="20"/>
              </w:rPr>
              <w:t>tabs</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an invitation,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View/Respond to RFx button for the RFx that you want to accept.</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On the RFx page, click the Accept button.</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If the Accept Invitation page displays preliminary bids, select the bids if you want</w:t>
            </w:r>
            <w:r w:rsidR="00C61247">
              <w:rPr>
                <w:rFonts w:asciiTheme="minorHAnsi" w:hAnsiTheme="minorHAnsi"/>
                <w:sz w:val="20"/>
              </w:rPr>
              <w:t xml:space="preserve"> </w:t>
            </w:r>
            <w:r w:rsidRPr="008618FB">
              <w:rPr>
                <w:rFonts w:asciiTheme="minorHAnsi" w:hAnsiTheme="minorHAnsi"/>
                <w:sz w:val="20"/>
              </w:rPr>
              <w:t>to accept them or clear the respective check boxes if you want to reject them.</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5. Click OK on the Accept Invitation dialog box</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invitation for an RFx that you previously declined,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Invitations.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Declined tab.</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Select the declined RFx that you want to accept.</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Click the Accept button.</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5. Click OK on the Accept Invitation dialog box.</w:t>
            </w:r>
          </w:p>
        </w:tc>
      </w:tr>
      <w:tr w:rsidR="008618FB" w:rsidRPr="003F30E1" w:rsidTr="00CD22AE">
        <w:trPr>
          <w:trHeight w:val="227"/>
          <w:jc w:val="center"/>
        </w:trPr>
        <w:tc>
          <w:tcPr>
            <w:tcW w:w="1063" w:type="dxa"/>
            <w:shd w:val="clear" w:color="auto" w:fill="DBE5F1" w:themeFill="accent1" w:themeFillTint="33"/>
          </w:tcPr>
          <w:p w:rsidR="008618FB" w:rsidRPr="00C61247" w:rsidRDefault="008618FB" w:rsidP="00076F95">
            <w:pPr>
              <w:rPr>
                <w:rFonts w:asciiTheme="minorHAnsi" w:hAnsiTheme="minorHAnsi"/>
                <w:b/>
              </w:rPr>
            </w:pPr>
            <w:r w:rsidRPr="00C61247">
              <w:rPr>
                <w:rFonts w:asciiTheme="minorHAnsi" w:hAnsiTheme="minorHAnsi"/>
                <w:b/>
              </w:rPr>
              <w:t>2.2</w:t>
            </w:r>
          </w:p>
        </w:tc>
        <w:tc>
          <w:tcPr>
            <w:tcW w:w="9237" w:type="dxa"/>
            <w:shd w:val="clear" w:color="auto" w:fill="DBE5F1" w:themeFill="accent1" w:themeFillTint="33"/>
          </w:tcPr>
          <w:p w:rsidR="008618FB" w:rsidRPr="00C61247" w:rsidRDefault="008618FB" w:rsidP="00174CC6">
            <w:pPr>
              <w:rPr>
                <w:rFonts w:asciiTheme="minorHAnsi" w:hAnsiTheme="minorHAnsi"/>
                <w:b/>
              </w:rPr>
            </w:pPr>
            <w:r w:rsidRPr="00C61247">
              <w:rPr>
                <w:rFonts w:asciiTheme="minorHAnsi" w:hAnsiTheme="minorHAnsi"/>
                <w:b/>
              </w:rPr>
              <w:t>Responding to Questionnaires</w:t>
            </w:r>
            <w:r w:rsidR="00076F95">
              <w:rPr>
                <w:rFonts w:asciiTheme="minorHAnsi" w:hAnsiTheme="minorHAnsi"/>
                <w:b/>
              </w:rPr>
              <w:t xml:space="preserve"> </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respond to a Questionnaire, do the following:</w:t>
            </w:r>
          </w:p>
          <w:p w:rsidR="008618FB" w:rsidRPr="008618FB" w:rsidRDefault="00CD22AE" w:rsidP="00076F95">
            <w:pPr>
              <w:spacing w:before="0" w:after="0"/>
              <w:rPr>
                <w:rFonts w:asciiTheme="minorHAnsi" w:hAnsiTheme="minorHAnsi"/>
                <w:sz w:val="20"/>
              </w:rPr>
            </w:pPr>
            <w:r>
              <w:rPr>
                <w:rFonts w:asciiTheme="minorHAnsi" w:hAnsiTheme="minorHAnsi"/>
                <w:sz w:val="20"/>
              </w:rPr>
              <w:t xml:space="preserve">1. </w:t>
            </w:r>
            <w:r w:rsidR="008618FB" w:rsidRPr="008618FB">
              <w:rPr>
                <w:rFonts w:asciiTheme="minorHAnsi" w:hAnsiTheme="minorHAnsi"/>
                <w:sz w:val="20"/>
              </w:rPr>
              <w:t>On the Bids menu, click View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View/Respond to RFx button for the RFx that you want to respond to.</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Click the Questionnaires tab. (Not applicable to RFIs)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Click the Place Response button for the questionnaires you want to respond to.</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5. On the Create Response page, provide answers to the questions.</w:t>
            </w:r>
          </w:p>
          <w:p w:rsidR="008618FB" w:rsidRDefault="00CD22AE" w:rsidP="00076F95">
            <w:pPr>
              <w:spacing w:before="0" w:after="0"/>
              <w:rPr>
                <w:rFonts w:asciiTheme="minorHAnsi" w:hAnsiTheme="minorHAnsi"/>
                <w:sz w:val="20"/>
              </w:rPr>
            </w:pPr>
            <w:r>
              <w:rPr>
                <w:rFonts w:asciiTheme="minorHAnsi" w:hAnsiTheme="minorHAnsi"/>
                <w:sz w:val="20"/>
              </w:rPr>
              <w:t>6. Click Save</w:t>
            </w:r>
            <w:r w:rsidR="008618FB" w:rsidRPr="008618FB">
              <w:rPr>
                <w:rFonts w:asciiTheme="minorHAnsi" w:hAnsiTheme="minorHAnsi"/>
                <w:sz w:val="20"/>
              </w:rPr>
              <w:t xml:space="preserve"> and then click Close.</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revise a question response,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On the Bids menu, click View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Click the View/Respond to RFx button for the RFx.</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3. Click the Revise Response button for the RFx questionnaire whose response you</w:t>
            </w:r>
            <w:r w:rsidR="00CD22AE">
              <w:rPr>
                <w:rFonts w:asciiTheme="minorHAnsi" w:hAnsiTheme="minorHAnsi"/>
                <w:sz w:val="20"/>
              </w:rPr>
              <w:t xml:space="preserve"> </w:t>
            </w:r>
            <w:r w:rsidRPr="008618FB">
              <w:rPr>
                <w:rFonts w:asciiTheme="minorHAnsi" w:hAnsiTheme="minorHAnsi"/>
                <w:sz w:val="20"/>
              </w:rPr>
              <w:t>want to modify.</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4. On the Edit Response dialog box, make the required changes.</w:t>
            </w:r>
          </w:p>
          <w:p w:rsidR="008618FB" w:rsidRPr="008618FB" w:rsidRDefault="00CD22AE" w:rsidP="00076F95">
            <w:pPr>
              <w:spacing w:before="0" w:after="0"/>
              <w:rPr>
                <w:rFonts w:asciiTheme="minorHAnsi" w:hAnsiTheme="minorHAnsi"/>
                <w:sz w:val="20"/>
              </w:rPr>
            </w:pPr>
            <w:r>
              <w:rPr>
                <w:rFonts w:asciiTheme="minorHAnsi" w:hAnsiTheme="minorHAnsi"/>
                <w:sz w:val="20"/>
              </w:rPr>
              <w:t>5. Click Save</w:t>
            </w:r>
            <w:r w:rsidR="008618FB" w:rsidRPr="008618FB">
              <w:rPr>
                <w:rFonts w:asciiTheme="minorHAnsi" w:hAnsiTheme="minorHAnsi"/>
                <w:sz w:val="20"/>
              </w:rPr>
              <w:t xml:space="preserve"> and then click Close.</w:t>
            </w:r>
          </w:p>
        </w:tc>
      </w:tr>
      <w:tr w:rsidR="008618FB" w:rsidRPr="003F30E1" w:rsidTr="00FE00BD">
        <w:trPr>
          <w:trHeight w:val="227"/>
          <w:jc w:val="center"/>
        </w:trPr>
        <w:tc>
          <w:tcPr>
            <w:tcW w:w="1063" w:type="dxa"/>
            <w:shd w:val="clear" w:color="auto" w:fill="auto"/>
          </w:tcPr>
          <w:p w:rsidR="008618FB" w:rsidRDefault="008618FB" w:rsidP="00076F95">
            <w:pPr>
              <w:spacing w:before="0" w:after="0"/>
              <w:rPr>
                <w:rFonts w:asciiTheme="minorHAnsi" w:hAnsiTheme="minorHAnsi"/>
              </w:rPr>
            </w:pPr>
          </w:p>
        </w:tc>
        <w:tc>
          <w:tcPr>
            <w:tcW w:w="9237" w:type="dxa"/>
            <w:shd w:val="clear" w:color="auto" w:fill="auto"/>
          </w:tcPr>
          <w:p w:rsidR="008618FB" w:rsidRPr="00CD22AE" w:rsidRDefault="008618FB" w:rsidP="00076F95">
            <w:pPr>
              <w:spacing w:before="0" w:after="0"/>
              <w:rPr>
                <w:rFonts w:asciiTheme="minorHAnsi" w:hAnsiTheme="minorHAnsi"/>
                <w:b/>
                <w:sz w:val="20"/>
              </w:rPr>
            </w:pPr>
            <w:r w:rsidRPr="00CD22AE">
              <w:rPr>
                <w:rFonts w:asciiTheme="minorHAnsi" w:hAnsiTheme="minorHAnsi"/>
                <w:b/>
                <w:sz w:val="20"/>
              </w:rPr>
              <w:t>To respond to an RFx offline, do the following:</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1. Export the RFx in a template to respond offline.</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On the Bids menu, click View RFx.</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Click the View/Respond to RFx button corresponding to the RFI.</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Click the Respond Offline button.</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On the Respond Offline dialog box, select the Download offline bidding template</w:t>
            </w:r>
            <w:r w:rsidR="00CD22AE" w:rsidRPr="00CD22AE">
              <w:rPr>
                <w:rFonts w:asciiTheme="minorHAnsi" w:hAnsiTheme="minorHAnsi"/>
                <w:sz w:val="20"/>
              </w:rPr>
              <w:t xml:space="preserve"> </w:t>
            </w:r>
            <w:r w:rsidR="00CD22AE">
              <w:rPr>
                <w:rFonts w:asciiTheme="minorHAnsi" w:hAnsiTheme="minorHAnsi"/>
                <w:sz w:val="20"/>
              </w:rPr>
              <w:t xml:space="preserve">option, </w:t>
            </w:r>
            <w:r w:rsidRPr="00CD22AE">
              <w:rPr>
                <w:rFonts w:asciiTheme="minorHAnsi" w:hAnsiTheme="minorHAnsi"/>
                <w:sz w:val="20"/>
              </w:rPr>
              <w:t>click OK.</w:t>
            </w:r>
          </w:p>
          <w:p w:rsidR="008618FB" w:rsidRPr="00CD22AE" w:rsidRDefault="008618FB" w:rsidP="00076F95">
            <w:pPr>
              <w:pStyle w:val="ListParagraph"/>
              <w:numPr>
                <w:ilvl w:val="0"/>
                <w:numId w:val="9"/>
              </w:numPr>
              <w:spacing w:before="0" w:after="0"/>
              <w:rPr>
                <w:rFonts w:asciiTheme="minorHAnsi" w:hAnsiTheme="minorHAnsi"/>
                <w:sz w:val="20"/>
              </w:rPr>
            </w:pPr>
            <w:r w:rsidRPr="00CD22AE">
              <w:rPr>
                <w:rFonts w:asciiTheme="minorHAnsi" w:hAnsiTheme="minorHAnsi"/>
                <w:sz w:val="20"/>
              </w:rPr>
              <w:t>Select a file type option, and click Export.</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t>2. Open the exported template, and respond to the questionnaires.</w:t>
            </w:r>
          </w:p>
          <w:p w:rsidR="008618FB" w:rsidRPr="008618FB" w:rsidRDefault="008618FB" w:rsidP="00076F95">
            <w:pPr>
              <w:spacing w:before="0" w:after="0"/>
              <w:rPr>
                <w:rFonts w:asciiTheme="minorHAnsi" w:hAnsiTheme="minorHAnsi"/>
                <w:sz w:val="20"/>
              </w:rPr>
            </w:pPr>
            <w:r w:rsidRPr="008618FB">
              <w:rPr>
                <w:rFonts w:asciiTheme="minorHAnsi" w:hAnsiTheme="minorHAnsi"/>
                <w:sz w:val="20"/>
              </w:rPr>
              <w:lastRenderedPageBreak/>
              <w:t>3. Import the RFx template in the application.</w:t>
            </w:r>
          </w:p>
          <w:p w:rsidR="00CD22AE"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On the Bids menu, click View RFx.</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Click the View/Respond to RFx button corresponding to the RFI.</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Click the Respond Offline button.</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On the Respond Offline dialog box, select the Import bids option, click OK.</w:t>
            </w:r>
          </w:p>
          <w:p w:rsidR="008618FB" w:rsidRPr="00CD22AE" w:rsidRDefault="008618FB" w:rsidP="00076F95">
            <w:pPr>
              <w:pStyle w:val="ListParagraph"/>
              <w:numPr>
                <w:ilvl w:val="0"/>
                <w:numId w:val="10"/>
              </w:numPr>
              <w:spacing w:before="0" w:after="0"/>
              <w:rPr>
                <w:rFonts w:asciiTheme="minorHAnsi" w:hAnsiTheme="minorHAnsi"/>
                <w:sz w:val="20"/>
              </w:rPr>
            </w:pPr>
            <w:r w:rsidRPr="00CD22AE">
              <w:rPr>
                <w:rFonts w:asciiTheme="minorHAnsi" w:hAnsiTheme="minorHAnsi"/>
                <w:sz w:val="20"/>
              </w:rPr>
              <w:t>Select the file and file type, and then click Import.</w:t>
            </w:r>
          </w:p>
        </w:tc>
      </w:tr>
      <w:tr w:rsidR="002C1470" w:rsidRPr="003F30E1" w:rsidTr="00FE00BD">
        <w:trPr>
          <w:trHeight w:val="227"/>
          <w:jc w:val="center"/>
        </w:trPr>
        <w:tc>
          <w:tcPr>
            <w:tcW w:w="1063" w:type="dxa"/>
            <w:shd w:val="clear" w:color="auto" w:fill="auto"/>
          </w:tcPr>
          <w:p w:rsidR="002C1470" w:rsidRDefault="002C1470" w:rsidP="00076F95">
            <w:pPr>
              <w:spacing w:before="0" w:after="0"/>
              <w:rPr>
                <w:rFonts w:asciiTheme="minorHAnsi" w:hAnsiTheme="minorHAnsi"/>
              </w:rPr>
            </w:pPr>
          </w:p>
        </w:tc>
        <w:tc>
          <w:tcPr>
            <w:tcW w:w="9237" w:type="dxa"/>
            <w:shd w:val="clear" w:color="auto" w:fill="auto"/>
          </w:tcPr>
          <w:p w:rsidR="002C1470" w:rsidRPr="00076F95" w:rsidRDefault="002C1470" w:rsidP="00076F95">
            <w:pPr>
              <w:spacing w:before="0" w:after="0"/>
              <w:rPr>
                <w:rFonts w:asciiTheme="minorHAnsi" w:hAnsiTheme="minorHAnsi"/>
                <w:b/>
                <w:sz w:val="20"/>
              </w:rPr>
            </w:pPr>
            <w:r w:rsidRPr="00076F95">
              <w:rPr>
                <w:rFonts w:asciiTheme="minorHAnsi" w:hAnsiTheme="minorHAnsi"/>
                <w:b/>
                <w:sz w:val="20"/>
              </w:rPr>
              <w:t>To attach files to an RFx, do the following:</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1. Open the RFx.</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2. Click the RFx Attachments link on the RFx header.</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3. On the Attachments page, c</w:t>
            </w:r>
            <w:bookmarkStart w:id="0" w:name="_GoBack"/>
            <w:bookmarkEnd w:id="0"/>
            <w:r w:rsidRPr="002C1470">
              <w:rPr>
                <w:rFonts w:asciiTheme="minorHAnsi" w:hAnsiTheme="minorHAnsi"/>
                <w:sz w:val="20"/>
              </w:rPr>
              <w:t>lick the Add button.</w:t>
            </w:r>
          </w:p>
          <w:p w:rsidR="002C1470" w:rsidRPr="002C1470" w:rsidRDefault="002C1470" w:rsidP="00076F95">
            <w:pPr>
              <w:spacing w:before="0" w:after="0"/>
              <w:rPr>
                <w:rFonts w:asciiTheme="minorHAnsi" w:hAnsiTheme="minorHAnsi"/>
                <w:sz w:val="20"/>
              </w:rPr>
            </w:pPr>
            <w:r w:rsidRPr="002C1470">
              <w:rPr>
                <w:rFonts w:asciiTheme="minorHAnsi" w:hAnsiTheme="minorHAnsi"/>
                <w:sz w:val="20"/>
              </w:rPr>
              <w:t>4. On the Add Attachments dialog box, enter the following information:</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Enter a name for the attachment.</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From the Folder list, select a folder where you want to save the attachment.</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From the Location list, select the location from where you want to add the</w:t>
            </w:r>
            <w:r w:rsidR="00076F95" w:rsidRPr="00076F95">
              <w:rPr>
                <w:rFonts w:asciiTheme="minorHAnsi" w:hAnsiTheme="minorHAnsi"/>
                <w:sz w:val="20"/>
              </w:rPr>
              <w:t xml:space="preserve"> </w:t>
            </w:r>
            <w:r w:rsidRPr="00076F95">
              <w:rPr>
                <w:rFonts w:asciiTheme="minorHAnsi" w:hAnsiTheme="minorHAnsi"/>
                <w:sz w:val="20"/>
              </w:rPr>
              <w:t>attachment.</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If you want to enter a description for the attachment, click the Description</w:t>
            </w:r>
            <w:r w:rsidR="00076F95" w:rsidRPr="00076F95">
              <w:rPr>
                <w:rFonts w:asciiTheme="minorHAnsi" w:hAnsiTheme="minorHAnsi"/>
                <w:sz w:val="20"/>
              </w:rPr>
              <w:t xml:space="preserve"> </w:t>
            </w:r>
            <w:r w:rsidRPr="00076F95">
              <w:rPr>
                <w:rFonts w:asciiTheme="minorHAnsi" w:hAnsiTheme="minorHAnsi"/>
                <w:sz w:val="20"/>
              </w:rPr>
              <w:t>icon and enter the attachment description.</w:t>
            </w:r>
          </w:p>
          <w:p w:rsidR="002C1470" w:rsidRPr="00076F95" w:rsidRDefault="002C1470" w:rsidP="00076F95">
            <w:pPr>
              <w:pStyle w:val="ListParagraph"/>
              <w:numPr>
                <w:ilvl w:val="0"/>
                <w:numId w:val="11"/>
              </w:numPr>
              <w:spacing w:before="0" w:after="0"/>
              <w:rPr>
                <w:rFonts w:asciiTheme="minorHAnsi" w:hAnsiTheme="minorHAnsi"/>
                <w:sz w:val="20"/>
              </w:rPr>
            </w:pPr>
            <w:r w:rsidRPr="00076F95">
              <w:rPr>
                <w:rFonts w:asciiTheme="minorHAnsi" w:hAnsiTheme="minorHAnsi"/>
                <w:sz w:val="20"/>
              </w:rPr>
              <w:t>In the Attach Content field, enter the location of the attachment.</w:t>
            </w:r>
          </w:p>
          <w:p w:rsidR="002C1470" w:rsidRPr="008618FB" w:rsidRDefault="002C1470" w:rsidP="00076F95">
            <w:pPr>
              <w:spacing w:before="0" w:after="0"/>
              <w:rPr>
                <w:rFonts w:asciiTheme="minorHAnsi" w:hAnsiTheme="minorHAnsi"/>
                <w:sz w:val="20"/>
              </w:rPr>
            </w:pPr>
            <w:r w:rsidRPr="002C1470">
              <w:rPr>
                <w:rFonts w:asciiTheme="minorHAnsi" w:hAnsiTheme="minorHAnsi"/>
                <w:sz w:val="20"/>
              </w:rPr>
              <w:t>5. Click Save.</w:t>
            </w:r>
          </w:p>
        </w:tc>
      </w:tr>
    </w:tbl>
    <w:p w:rsidR="003F30E1" w:rsidRDefault="003F30E1"/>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4087"/>
        <w:gridCol w:w="5150"/>
      </w:tblGrid>
      <w:tr w:rsidR="00A70AD5" w:rsidRPr="003F30E1" w:rsidTr="003F30E1">
        <w:trPr>
          <w:trHeight w:val="227"/>
          <w:jc w:val="center"/>
        </w:trPr>
        <w:tc>
          <w:tcPr>
            <w:tcW w:w="1063" w:type="dxa"/>
            <w:shd w:val="clear" w:color="auto" w:fill="8DB3E2" w:themeFill="text2" w:themeFillTint="66"/>
          </w:tcPr>
          <w:p w:rsidR="00A70AD5" w:rsidRPr="003F30E1" w:rsidRDefault="007C0EF2" w:rsidP="005856D5">
            <w:pPr>
              <w:rPr>
                <w:rFonts w:asciiTheme="minorHAnsi" w:hAnsiTheme="minorHAnsi"/>
                <w:b/>
              </w:rPr>
            </w:pPr>
            <w:r>
              <w:rPr>
                <w:rFonts w:asciiTheme="minorHAnsi" w:hAnsiTheme="minorHAnsi"/>
                <w:b/>
              </w:rPr>
              <w:t>3.</w:t>
            </w:r>
          </w:p>
        </w:tc>
        <w:tc>
          <w:tcPr>
            <w:tcW w:w="9237" w:type="dxa"/>
            <w:gridSpan w:val="2"/>
            <w:shd w:val="clear" w:color="auto" w:fill="8DB3E2" w:themeFill="text2" w:themeFillTint="66"/>
          </w:tcPr>
          <w:p w:rsidR="00A70AD5" w:rsidRPr="003F30E1" w:rsidRDefault="00076F95" w:rsidP="003F30E1">
            <w:pPr>
              <w:rPr>
                <w:rFonts w:asciiTheme="minorHAnsi" w:hAnsiTheme="minorHAnsi"/>
                <w:b/>
              </w:rPr>
            </w:pPr>
            <w:r>
              <w:rPr>
                <w:rFonts w:asciiTheme="minorHAnsi" w:hAnsiTheme="minorHAnsi"/>
                <w:b/>
              </w:rPr>
              <w:t xml:space="preserve">Additional </w:t>
            </w:r>
            <w:r w:rsidR="007C0EF2">
              <w:rPr>
                <w:rFonts w:asciiTheme="minorHAnsi" w:hAnsiTheme="minorHAnsi"/>
                <w:b/>
              </w:rPr>
              <w:t>System Support</w:t>
            </w:r>
          </w:p>
        </w:tc>
      </w:tr>
      <w:tr w:rsidR="00A70AD5" w:rsidRPr="003F30E1" w:rsidTr="00FE00BD">
        <w:trPr>
          <w:trHeight w:val="227"/>
          <w:jc w:val="center"/>
        </w:trPr>
        <w:tc>
          <w:tcPr>
            <w:tcW w:w="1063" w:type="dxa"/>
            <w:shd w:val="clear" w:color="auto" w:fill="auto"/>
          </w:tcPr>
          <w:p w:rsidR="00A70AD5" w:rsidRPr="003F30E1" w:rsidRDefault="002C1470" w:rsidP="005856D5">
            <w:pPr>
              <w:rPr>
                <w:rFonts w:asciiTheme="minorHAnsi" w:hAnsiTheme="minorHAnsi" w:cs="Calibri"/>
              </w:rPr>
            </w:pPr>
            <w:r>
              <w:rPr>
                <w:rFonts w:asciiTheme="minorHAnsi" w:hAnsiTheme="minorHAnsi" w:cs="Calibri"/>
              </w:rPr>
              <w:t>Supplier User Guide</w:t>
            </w:r>
          </w:p>
        </w:tc>
        <w:tc>
          <w:tcPr>
            <w:tcW w:w="9237" w:type="dxa"/>
            <w:gridSpan w:val="2"/>
            <w:shd w:val="clear" w:color="auto" w:fill="auto"/>
          </w:tcPr>
          <w:p w:rsidR="002C1470" w:rsidRPr="00877D6A" w:rsidRDefault="00877D6A" w:rsidP="003F30E1">
            <w:pPr>
              <w:jc w:val="both"/>
              <w:rPr>
                <w:sz w:val="20"/>
                <w:highlight w:val="yellow"/>
              </w:rPr>
            </w:pPr>
            <w:hyperlink r:id="rId9" w:history="1">
              <w:r w:rsidRPr="00877D6A">
                <w:rPr>
                  <w:rStyle w:val="Hyperlink"/>
                  <w:rFonts w:ascii="Calibri" w:hAnsi="Calibri" w:cs="Times New Roman"/>
                  <w:sz w:val="20"/>
                  <w:szCs w:val="20"/>
                  <w:highlight w:val="yellow"/>
                </w:rPr>
                <w:t>https://www-03.ibm.com/procurement/proweb.nsf/contentdocsbytitle/Emptoris+Sourcing~Emptoris+Sourcing+User+guide</w:t>
              </w:r>
            </w:hyperlink>
          </w:p>
          <w:p w:rsidR="00877D6A" w:rsidRPr="00877D6A" w:rsidRDefault="00877D6A" w:rsidP="003F30E1">
            <w:pPr>
              <w:jc w:val="both"/>
              <w:rPr>
                <w:sz w:val="20"/>
                <w:highlight w:val="yellow"/>
              </w:rPr>
            </w:pPr>
          </w:p>
        </w:tc>
      </w:tr>
      <w:tr w:rsidR="002C1470" w:rsidRPr="003F30E1" w:rsidTr="00FE00BD">
        <w:trPr>
          <w:trHeight w:val="227"/>
          <w:jc w:val="center"/>
        </w:trPr>
        <w:tc>
          <w:tcPr>
            <w:tcW w:w="1063" w:type="dxa"/>
            <w:shd w:val="clear" w:color="auto" w:fill="auto"/>
          </w:tcPr>
          <w:p w:rsidR="002C1470" w:rsidRDefault="002C1470" w:rsidP="005856D5">
            <w:pPr>
              <w:rPr>
                <w:rFonts w:asciiTheme="minorHAnsi" w:hAnsiTheme="minorHAnsi" w:cs="Calibri"/>
              </w:rPr>
            </w:pPr>
            <w:r>
              <w:rPr>
                <w:rFonts w:asciiTheme="minorHAnsi" w:hAnsiTheme="minorHAnsi" w:cs="Calibri"/>
              </w:rPr>
              <w:t>Video Tutorials</w:t>
            </w:r>
          </w:p>
        </w:tc>
        <w:tc>
          <w:tcPr>
            <w:tcW w:w="9237" w:type="dxa"/>
            <w:gridSpan w:val="2"/>
            <w:shd w:val="clear" w:color="auto" w:fill="auto"/>
          </w:tcPr>
          <w:p w:rsidR="002C1470" w:rsidRPr="002C1470" w:rsidRDefault="002C1470" w:rsidP="002C1470">
            <w:pPr>
              <w:jc w:val="both"/>
              <w:rPr>
                <w:sz w:val="20"/>
              </w:rPr>
            </w:pPr>
            <w:r w:rsidRPr="002C1470">
              <w:rPr>
                <w:sz w:val="20"/>
              </w:rPr>
              <w:t>When you click a tutorial link, the tutorial is automatically downloaded. You can right-click the link and click Open link in new tab to open the tutorial in another tab of the web browser.</w:t>
            </w:r>
          </w:p>
          <w:p w:rsidR="002C1470" w:rsidRPr="00076F95" w:rsidRDefault="002C1470" w:rsidP="002C1470">
            <w:pPr>
              <w:jc w:val="both"/>
              <w:rPr>
                <w:rFonts w:asciiTheme="minorHAnsi" w:hAnsiTheme="minorHAnsi"/>
                <w:sz w:val="20"/>
              </w:rPr>
            </w:pPr>
            <w:r w:rsidRPr="002C1470">
              <w:rPr>
                <w:sz w:val="20"/>
              </w:rPr>
              <w:t xml:space="preserve">You </w:t>
            </w:r>
            <w:r w:rsidRPr="00076F95">
              <w:rPr>
                <w:rFonts w:asciiTheme="minorHAnsi" w:hAnsiTheme="minorHAnsi"/>
                <w:sz w:val="20"/>
              </w:rPr>
              <w:t>can also manually download the tutorials and play them. To download the tutorial manually, complete the following steps:</w:t>
            </w:r>
          </w:p>
          <w:p w:rsidR="002C1470" w:rsidRPr="00076F95" w:rsidRDefault="002C1470" w:rsidP="00076F95">
            <w:pPr>
              <w:pStyle w:val="ListParagraph"/>
              <w:numPr>
                <w:ilvl w:val="0"/>
                <w:numId w:val="13"/>
              </w:numPr>
              <w:jc w:val="both"/>
              <w:rPr>
                <w:rFonts w:asciiTheme="minorHAnsi" w:hAnsiTheme="minorHAnsi"/>
                <w:sz w:val="20"/>
              </w:rPr>
            </w:pPr>
            <w:r w:rsidRPr="00076F95">
              <w:rPr>
                <w:rFonts w:asciiTheme="minorHAnsi" w:hAnsiTheme="minorHAnsi"/>
                <w:sz w:val="20"/>
              </w:rPr>
              <w:t>Right-click the link, and click Save link as....</w:t>
            </w:r>
          </w:p>
          <w:p w:rsidR="002C1470" w:rsidRPr="00076F95" w:rsidRDefault="002C1470" w:rsidP="00076F95">
            <w:pPr>
              <w:pStyle w:val="ListParagraph"/>
              <w:numPr>
                <w:ilvl w:val="0"/>
                <w:numId w:val="13"/>
              </w:numPr>
              <w:jc w:val="both"/>
              <w:rPr>
                <w:rFonts w:asciiTheme="minorHAnsi" w:hAnsiTheme="minorHAnsi"/>
                <w:sz w:val="20"/>
              </w:rPr>
            </w:pPr>
            <w:r w:rsidRPr="00076F95">
              <w:rPr>
                <w:rFonts w:asciiTheme="minorHAnsi" w:hAnsiTheme="minorHAnsi"/>
                <w:sz w:val="20"/>
              </w:rPr>
              <w:t>Select the location, and click Save.</w:t>
            </w:r>
          </w:p>
          <w:p w:rsidR="002C1470" w:rsidRPr="00076F95" w:rsidRDefault="002C1470" w:rsidP="00076F95">
            <w:pPr>
              <w:pStyle w:val="ListParagraph"/>
              <w:numPr>
                <w:ilvl w:val="0"/>
                <w:numId w:val="13"/>
              </w:numPr>
              <w:jc w:val="both"/>
              <w:rPr>
                <w:sz w:val="20"/>
              </w:rPr>
            </w:pPr>
            <w:r w:rsidRPr="00076F95">
              <w:rPr>
                <w:rFonts w:asciiTheme="minorHAnsi" w:hAnsiTheme="minorHAnsi"/>
                <w:sz w:val="20"/>
              </w:rPr>
              <w:t>On the Download complete window, click Open.</w:t>
            </w:r>
          </w:p>
        </w:tc>
      </w:tr>
      <w:tr w:rsidR="002C1470" w:rsidRPr="003F30E1" w:rsidTr="00076F95">
        <w:trPr>
          <w:trHeight w:val="227"/>
          <w:jc w:val="center"/>
        </w:trPr>
        <w:tc>
          <w:tcPr>
            <w:tcW w:w="5150" w:type="dxa"/>
            <w:gridSpan w:val="2"/>
            <w:shd w:val="clear" w:color="auto" w:fill="auto"/>
          </w:tcPr>
          <w:p w:rsidR="002C1470" w:rsidRDefault="00877D6A" w:rsidP="005856D5">
            <w:pPr>
              <w:rPr>
                <w:rFonts w:asciiTheme="minorHAnsi" w:hAnsiTheme="minorHAnsi" w:cs="Calibri"/>
              </w:rPr>
            </w:pPr>
            <w:hyperlink r:id="rId10" w:history="1">
              <w:r w:rsidR="00076F95" w:rsidRPr="002C1470">
                <w:rPr>
                  <w:rStyle w:val="Hyperlink"/>
                  <w:rFonts w:ascii="Calibri" w:hAnsi="Calibri" w:cs="Times New Roman"/>
                  <w:sz w:val="20"/>
                  <w:szCs w:val="20"/>
                </w:rPr>
                <w:t>How to accept an RFx</w:t>
              </w:r>
            </w:hyperlink>
          </w:p>
        </w:tc>
        <w:tc>
          <w:tcPr>
            <w:tcW w:w="5150" w:type="dxa"/>
            <w:shd w:val="clear" w:color="auto" w:fill="auto"/>
          </w:tcPr>
          <w:p w:rsidR="002C1470" w:rsidRDefault="00877D6A" w:rsidP="003F30E1">
            <w:pPr>
              <w:jc w:val="both"/>
              <w:rPr>
                <w:sz w:val="20"/>
              </w:rPr>
            </w:pPr>
            <w:hyperlink r:id="rId11" w:history="1">
              <w:r w:rsidR="00076F95" w:rsidRPr="00564EBD">
                <w:rPr>
                  <w:rStyle w:val="Hyperlink"/>
                  <w:rFonts w:ascii="Calibri" w:hAnsi="Calibri" w:cs="Times New Roman"/>
                  <w:sz w:val="20"/>
                  <w:szCs w:val="20"/>
                </w:rPr>
                <w:t>How to respond to questions</w:t>
              </w:r>
            </w:hyperlink>
          </w:p>
        </w:tc>
      </w:tr>
      <w:tr w:rsidR="002C1470" w:rsidRPr="003F30E1" w:rsidTr="00076F95">
        <w:trPr>
          <w:trHeight w:val="227"/>
          <w:jc w:val="center"/>
        </w:trPr>
        <w:tc>
          <w:tcPr>
            <w:tcW w:w="5150" w:type="dxa"/>
            <w:gridSpan w:val="2"/>
            <w:shd w:val="clear" w:color="auto" w:fill="auto"/>
          </w:tcPr>
          <w:p w:rsidR="002C1470" w:rsidRDefault="00877D6A" w:rsidP="005856D5">
            <w:pPr>
              <w:rPr>
                <w:rFonts w:asciiTheme="minorHAnsi" w:hAnsiTheme="minorHAnsi" w:cs="Calibri"/>
              </w:rPr>
            </w:pPr>
            <w:hyperlink r:id="rId12" w:history="1">
              <w:r w:rsidR="00076F95" w:rsidRPr="002C1470">
                <w:rPr>
                  <w:rStyle w:val="Hyperlink"/>
                  <w:rFonts w:ascii="Calibri" w:hAnsi="Calibri" w:cs="Times New Roman"/>
                  <w:sz w:val="20"/>
                  <w:szCs w:val="20"/>
                </w:rPr>
                <w:t>How to manage attachments</w:t>
              </w:r>
            </w:hyperlink>
          </w:p>
        </w:tc>
        <w:tc>
          <w:tcPr>
            <w:tcW w:w="5150" w:type="dxa"/>
            <w:shd w:val="clear" w:color="auto" w:fill="auto"/>
          </w:tcPr>
          <w:p w:rsidR="002C1470" w:rsidRDefault="00877D6A" w:rsidP="003F30E1">
            <w:pPr>
              <w:jc w:val="both"/>
              <w:rPr>
                <w:sz w:val="20"/>
              </w:rPr>
            </w:pPr>
            <w:hyperlink r:id="rId13" w:history="1">
              <w:r w:rsidR="00076F95" w:rsidRPr="00564EBD">
                <w:rPr>
                  <w:rStyle w:val="Hyperlink"/>
                  <w:rFonts w:ascii="Calibri" w:hAnsi="Calibri" w:cs="Times New Roman"/>
                  <w:sz w:val="20"/>
                  <w:szCs w:val="20"/>
                </w:rPr>
                <w:t>How to view lots, items and attachments</w:t>
              </w:r>
            </w:hyperlink>
          </w:p>
        </w:tc>
      </w:tr>
      <w:tr w:rsidR="002C1470" w:rsidRPr="003F30E1" w:rsidTr="00076F95">
        <w:trPr>
          <w:trHeight w:val="227"/>
          <w:jc w:val="center"/>
        </w:trPr>
        <w:tc>
          <w:tcPr>
            <w:tcW w:w="5150" w:type="dxa"/>
            <w:gridSpan w:val="2"/>
            <w:shd w:val="clear" w:color="auto" w:fill="auto"/>
          </w:tcPr>
          <w:p w:rsidR="002C1470" w:rsidRDefault="00877D6A" w:rsidP="005856D5">
            <w:pPr>
              <w:rPr>
                <w:rFonts w:asciiTheme="minorHAnsi" w:hAnsiTheme="minorHAnsi" w:cs="Calibri"/>
              </w:rPr>
            </w:pPr>
            <w:hyperlink r:id="rId14" w:history="1">
              <w:r w:rsidR="00076F95" w:rsidRPr="002C1470">
                <w:rPr>
                  <w:rStyle w:val="Hyperlink"/>
                  <w:rFonts w:ascii="Calibri" w:hAnsi="Calibri" w:cs="Times New Roman"/>
                  <w:sz w:val="20"/>
                  <w:szCs w:val="20"/>
                </w:rPr>
                <w:t>How to use system messaging</w:t>
              </w:r>
            </w:hyperlink>
          </w:p>
        </w:tc>
        <w:tc>
          <w:tcPr>
            <w:tcW w:w="5150" w:type="dxa"/>
            <w:shd w:val="clear" w:color="auto" w:fill="auto"/>
          </w:tcPr>
          <w:p w:rsidR="002C1470" w:rsidRDefault="00877D6A" w:rsidP="003F30E1">
            <w:pPr>
              <w:jc w:val="both"/>
              <w:rPr>
                <w:sz w:val="20"/>
              </w:rPr>
            </w:pPr>
            <w:hyperlink r:id="rId15" w:history="1">
              <w:r w:rsidR="00076F95" w:rsidRPr="00564EBD">
                <w:rPr>
                  <w:rStyle w:val="Hyperlink"/>
                  <w:rFonts w:ascii="Calibri" w:hAnsi="Calibri" w:cs="Times New Roman"/>
                  <w:sz w:val="20"/>
                  <w:szCs w:val="20"/>
                </w:rPr>
                <w:t>How to Place Bids</w:t>
              </w:r>
            </w:hyperlink>
          </w:p>
        </w:tc>
      </w:tr>
    </w:tbl>
    <w:p w:rsidR="00BB2638" w:rsidRPr="003F30E1" w:rsidRDefault="00BB2638" w:rsidP="00636CED">
      <w:pPr>
        <w:spacing w:before="0" w:after="0"/>
        <w:rPr>
          <w:rFonts w:asciiTheme="minorHAnsi" w:hAnsiTheme="minorHAnsi"/>
          <w:color w:val="auto"/>
          <w:szCs w:val="24"/>
          <w:lang w:eastAsia="en-GB"/>
        </w:rPr>
      </w:pPr>
    </w:p>
    <w:sectPr w:rsidR="00BB2638" w:rsidRPr="003F30E1" w:rsidSect="000A515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BB8" w:rsidRDefault="00584BB8" w:rsidP="007A6C45">
      <w:r>
        <w:separator/>
      </w:r>
    </w:p>
  </w:endnote>
  <w:endnote w:type="continuationSeparator" w:id="0">
    <w:p w:rsidR="00584BB8" w:rsidRDefault="00584BB8"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6A" w:rsidRDefault="00877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1D4F797B" wp14:editId="0CF41870">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0B40"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11FFF360" wp14:editId="23285DE1">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644A"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BB8" w:rsidRDefault="00584BB8" w:rsidP="007A6C45">
      <w:r>
        <w:separator/>
      </w:r>
    </w:p>
  </w:footnote>
  <w:footnote w:type="continuationSeparator" w:id="0">
    <w:p w:rsidR="00584BB8" w:rsidRDefault="00584BB8"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6A" w:rsidRDefault="00877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4211"/>
      <w:gridCol w:w="1880"/>
      <w:gridCol w:w="1419"/>
    </w:tblGrid>
    <w:tr w:rsidR="00B07FD1" w:rsidRPr="0082320E" w:rsidTr="00B07FD1">
      <w:trPr>
        <w:cantSplit/>
        <w:trHeight w:val="487"/>
        <w:jc w:val="center"/>
      </w:trPr>
      <w:tc>
        <w:tcPr>
          <w:tcW w:w="2571" w:type="dxa"/>
          <w:vAlign w:val="center"/>
        </w:tcPr>
        <w:p w:rsidR="00B07FD1" w:rsidRDefault="00B07FD1" w:rsidP="00157F45">
          <w:pPr>
            <w:pStyle w:val="Header"/>
            <w:jc w:val="center"/>
            <w:rPr>
              <w:rFonts w:cs="Arial"/>
            </w:rPr>
          </w:pPr>
          <w:r>
            <w:rPr>
              <w:rFonts w:cs="Arial"/>
            </w:rPr>
            <w:t>Reference</w:t>
          </w:r>
        </w:p>
      </w:tc>
      <w:tc>
        <w:tcPr>
          <w:tcW w:w="4211" w:type="dxa"/>
          <w:tcBorders>
            <w:right w:val="nil"/>
          </w:tcBorders>
          <w:shd w:val="clear" w:color="auto" w:fill="auto"/>
          <w:vAlign w:val="center"/>
        </w:tcPr>
        <w:p w:rsidR="00B07FD1" w:rsidRPr="00D06567" w:rsidRDefault="00B07FD1" w:rsidP="00157F45">
          <w:pPr>
            <w:pStyle w:val="Header"/>
            <w:jc w:val="center"/>
            <w:rPr>
              <w:rFonts w:cs="Arial"/>
            </w:rPr>
          </w:pPr>
          <w:r w:rsidRPr="00D06567">
            <w:rPr>
              <w:rFonts w:cs="Arial"/>
            </w:rPr>
            <w:t>Title</w:t>
          </w:r>
        </w:p>
      </w:tc>
      <w:tc>
        <w:tcPr>
          <w:tcW w:w="1880" w:type="dxa"/>
          <w:tcBorders>
            <w:top w:val="single" w:sz="4" w:space="0" w:color="auto"/>
            <w:left w:val="single" w:sz="4" w:space="0" w:color="auto"/>
            <w:bottom w:val="single" w:sz="4" w:space="0" w:color="auto"/>
            <w:right w:val="single" w:sz="4" w:space="0" w:color="auto"/>
          </w:tcBorders>
          <w:vAlign w:val="center"/>
        </w:tcPr>
        <w:p w:rsidR="00B07FD1" w:rsidRDefault="00B07FD1" w:rsidP="00157F45">
          <w:pPr>
            <w:pStyle w:val="Header"/>
            <w:jc w:val="center"/>
            <w:rPr>
              <w:rFonts w:cs="Arial"/>
            </w:rPr>
          </w:pPr>
          <w:r>
            <w:rPr>
              <w:rFonts w:cs="Arial"/>
            </w:rPr>
            <w:t>Issued</w:t>
          </w:r>
        </w:p>
      </w:tc>
      <w:tc>
        <w:tcPr>
          <w:tcW w:w="1419" w:type="dxa"/>
          <w:tcBorders>
            <w:top w:val="single" w:sz="4" w:space="0" w:color="auto"/>
            <w:left w:val="single" w:sz="4" w:space="0" w:color="auto"/>
            <w:bottom w:val="single" w:sz="4" w:space="0" w:color="auto"/>
            <w:right w:val="single" w:sz="4" w:space="0" w:color="auto"/>
          </w:tcBorders>
          <w:vAlign w:val="center"/>
        </w:tcPr>
        <w:p w:rsidR="00B07FD1" w:rsidRDefault="00B07FD1" w:rsidP="00157F45">
          <w:pPr>
            <w:pStyle w:val="Header"/>
            <w:jc w:val="center"/>
            <w:rPr>
              <w:rFonts w:cs="Arial"/>
            </w:rPr>
          </w:pPr>
          <w:r>
            <w:rPr>
              <w:rFonts w:cs="Arial"/>
            </w:rPr>
            <w:t>Revision</w:t>
          </w:r>
        </w:p>
      </w:tc>
    </w:tr>
    <w:tr w:rsidR="00B07FD1" w:rsidRPr="0082320E" w:rsidTr="00B07FD1">
      <w:trPr>
        <w:cantSplit/>
        <w:trHeight w:val="487"/>
        <w:jc w:val="center"/>
      </w:trPr>
      <w:tc>
        <w:tcPr>
          <w:tcW w:w="2571" w:type="dxa"/>
          <w:vAlign w:val="center"/>
        </w:tcPr>
        <w:p w:rsidR="00B07FD1" w:rsidRPr="0082320E" w:rsidRDefault="00B07FD1" w:rsidP="00157F45">
          <w:pPr>
            <w:pStyle w:val="Header"/>
            <w:jc w:val="center"/>
            <w:rPr>
              <w:rFonts w:cs="Arial"/>
              <w:b/>
            </w:rPr>
          </w:pPr>
          <w:r>
            <w:rPr>
              <w:rFonts w:cs="Arial"/>
            </w:rPr>
            <w:t>FO-PRS-EMP-113</w:t>
          </w:r>
        </w:p>
      </w:tc>
      <w:tc>
        <w:tcPr>
          <w:tcW w:w="4211" w:type="dxa"/>
          <w:tcBorders>
            <w:right w:val="nil"/>
          </w:tcBorders>
          <w:shd w:val="clear" w:color="auto" w:fill="auto"/>
          <w:vAlign w:val="center"/>
        </w:tcPr>
        <w:p w:rsidR="00B07FD1" w:rsidRPr="0082320E" w:rsidRDefault="00B07FD1" w:rsidP="00157F45">
          <w:pPr>
            <w:pStyle w:val="Header"/>
            <w:jc w:val="center"/>
            <w:rPr>
              <w:rFonts w:cs="Arial"/>
              <w:b/>
            </w:rPr>
          </w:pPr>
          <w:r>
            <w:rPr>
              <w:rFonts w:cs="Arial"/>
              <w:b/>
            </w:rPr>
            <w:t>RFI Attachment 003 (Emptoris Guidance)</w:t>
          </w:r>
        </w:p>
      </w:tc>
      <w:tc>
        <w:tcPr>
          <w:tcW w:w="1880" w:type="dxa"/>
          <w:tcBorders>
            <w:top w:val="single" w:sz="4" w:space="0" w:color="auto"/>
            <w:left w:val="single" w:sz="4" w:space="0" w:color="auto"/>
            <w:bottom w:val="single" w:sz="4" w:space="0" w:color="auto"/>
            <w:right w:val="single" w:sz="4" w:space="0" w:color="auto"/>
          </w:tcBorders>
          <w:vAlign w:val="center"/>
        </w:tcPr>
        <w:p w:rsidR="00B07FD1" w:rsidRPr="0082320E" w:rsidRDefault="00877D6A" w:rsidP="00157F45">
          <w:pPr>
            <w:pStyle w:val="Header"/>
            <w:jc w:val="center"/>
            <w:rPr>
              <w:rFonts w:cs="Arial"/>
              <w:b/>
            </w:rPr>
          </w:pPr>
          <w:r>
            <w:rPr>
              <w:rFonts w:cs="Arial"/>
            </w:rPr>
            <w:t>October</w:t>
          </w:r>
          <w:r w:rsidR="00B07FD1">
            <w:rPr>
              <w:rFonts w:cs="Arial"/>
            </w:rPr>
            <w:t xml:space="preserve"> 201</w:t>
          </w:r>
          <w:r>
            <w:rPr>
              <w:rFonts w:cs="Arial"/>
            </w:rPr>
            <w:t>9</w:t>
          </w:r>
        </w:p>
      </w:tc>
      <w:tc>
        <w:tcPr>
          <w:tcW w:w="1419" w:type="dxa"/>
          <w:tcBorders>
            <w:top w:val="single" w:sz="4" w:space="0" w:color="auto"/>
            <w:left w:val="single" w:sz="4" w:space="0" w:color="auto"/>
            <w:bottom w:val="single" w:sz="4" w:space="0" w:color="auto"/>
            <w:right w:val="single" w:sz="4" w:space="0" w:color="auto"/>
          </w:tcBorders>
          <w:vAlign w:val="center"/>
        </w:tcPr>
        <w:p w:rsidR="00B07FD1" w:rsidRPr="0082320E" w:rsidRDefault="00B07FD1" w:rsidP="00157F45">
          <w:pPr>
            <w:pStyle w:val="Header"/>
            <w:jc w:val="center"/>
            <w:rPr>
              <w:rFonts w:cs="Arial"/>
              <w:b/>
            </w:rPr>
          </w:pPr>
          <w:r>
            <w:rPr>
              <w:rFonts w:cs="Arial"/>
            </w:rPr>
            <w:t>1.0</w:t>
          </w:r>
          <w:r w:rsidR="00877D6A">
            <w:rPr>
              <w:rFonts w:cs="Arial"/>
            </w:rPr>
            <w:t>1</w:t>
          </w:r>
        </w:p>
      </w:tc>
    </w:tr>
  </w:tbl>
  <w:p w:rsidR="00584BB8" w:rsidRPr="00B07FD1" w:rsidRDefault="00584BB8" w:rsidP="00B0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B8" w:rsidRDefault="00584BB8" w:rsidP="007A6C45">
    <w:pPr>
      <w:pStyle w:val="Header"/>
    </w:pPr>
    <w:r>
      <w:rPr>
        <w:noProof/>
        <w:lang w:eastAsia="en-GB"/>
      </w:rPr>
      <w:drawing>
        <wp:anchor distT="0" distB="0" distL="114300" distR="114300" simplePos="0" relativeHeight="251658240" behindDoc="1" locked="0" layoutInCell="1" allowOverlap="1" wp14:anchorId="0B5A2F5F" wp14:editId="1DD80935">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03E60ADA" wp14:editId="2B3B0372">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4F4C"/>
    <w:multiLevelType w:val="hybridMultilevel"/>
    <w:tmpl w:val="AEF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65D50"/>
    <w:multiLevelType w:val="hybridMultilevel"/>
    <w:tmpl w:val="141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739DF"/>
    <w:multiLevelType w:val="hybridMultilevel"/>
    <w:tmpl w:val="B7C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08818D9"/>
    <w:multiLevelType w:val="hybridMultilevel"/>
    <w:tmpl w:val="C53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96792"/>
    <w:multiLevelType w:val="hybridMultilevel"/>
    <w:tmpl w:val="B8C61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
  </w:num>
  <w:num w:numId="6">
    <w:abstractNumId w:val="6"/>
  </w:num>
  <w:num w:numId="7">
    <w:abstractNumId w:val="12"/>
  </w:num>
  <w:num w:numId="8">
    <w:abstractNumId w:val="0"/>
  </w:num>
  <w:num w:numId="9">
    <w:abstractNumId w:val="4"/>
  </w:num>
  <w:num w:numId="10">
    <w:abstractNumId w:val="3"/>
  </w:num>
  <w:num w:numId="11">
    <w:abstractNumId w:val="2"/>
  </w:num>
  <w:num w:numId="12">
    <w:abstractNumId w:val="11"/>
  </w:num>
  <w:num w:numId="13">
    <w:abstractNumId w:val="9"/>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ocumentProtection w:formatting="1" w:enforcement="0"/>
  <w:defaultTabStop w:val="720"/>
  <w:defaultTableStyle w:val="TableStyle1"/>
  <w:characterSpacingControl w:val="doNotCompress"/>
  <w:hdrShapeDefaults>
    <o:shapedefaults v:ext="edit" spidmax="32769">
      <o:colormru v:ext="edit" colors="#7dc242,#004687"/>
      <o:colormenu v:ext="edit" fillcolor="#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205FB"/>
    <w:rsid w:val="000567BE"/>
    <w:rsid w:val="00075C57"/>
    <w:rsid w:val="00076F95"/>
    <w:rsid w:val="00086780"/>
    <w:rsid w:val="000A1E07"/>
    <w:rsid w:val="000A250B"/>
    <w:rsid w:val="000A5157"/>
    <w:rsid w:val="000C0380"/>
    <w:rsid w:val="000D226F"/>
    <w:rsid w:val="000F2F3F"/>
    <w:rsid w:val="000F6749"/>
    <w:rsid w:val="00147368"/>
    <w:rsid w:val="00162094"/>
    <w:rsid w:val="00174CC6"/>
    <w:rsid w:val="00194753"/>
    <w:rsid w:val="00194FBD"/>
    <w:rsid w:val="001C46EE"/>
    <w:rsid w:val="001E75DE"/>
    <w:rsid w:val="001F3826"/>
    <w:rsid w:val="00200434"/>
    <w:rsid w:val="00216C83"/>
    <w:rsid w:val="00243DB9"/>
    <w:rsid w:val="00254A44"/>
    <w:rsid w:val="002564FF"/>
    <w:rsid w:val="002669BA"/>
    <w:rsid w:val="0027025E"/>
    <w:rsid w:val="00272380"/>
    <w:rsid w:val="00295147"/>
    <w:rsid w:val="002A17A3"/>
    <w:rsid w:val="002B7D2D"/>
    <w:rsid w:val="002C1470"/>
    <w:rsid w:val="002D2993"/>
    <w:rsid w:val="002E300D"/>
    <w:rsid w:val="002E4294"/>
    <w:rsid w:val="002F1972"/>
    <w:rsid w:val="003061D8"/>
    <w:rsid w:val="00342794"/>
    <w:rsid w:val="00344520"/>
    <w:rsid w:val="00366B5C"/>
    <w:rsid w:val="00372721"/>
    <w:rsid w:val="00391F80"/>
    <w:rsid w:val="003B5800"/>
    <w:rsid w:val="003D4A66"/>
    <w:rsid w:val="003E019E"/>
    <w:rsid w:val="003E0351"/>
    <w:rsid w:val="003F270D"/>
    <w:rsid w:val="003F30E1"/>
    <w:rsid w:val="00417C9D"/>
    <w:rsid w:val="004206D0"/>
    <w:rsid w:val="00431B72"/>
    <w:rsid w:val="00435012"/>
    <w:rsid w:val="00461792"/>
    <w:rsid w:val="0048519C"/>
    <w:rsid w:val="004A3A99"/>
    <w:rsid w:val="004C6B14"/>
    <w:rsid w:val="004C6C7C"/>
    <w:rsid w:val="004F0017"/>
    <w:rsid w:val="004F628B"/>
    <w:rsid w:val="00503BB7"/>
    <w:rsid w:val="0050674F"/>
    <w:rsid w:val="00507702"/>
    <w:rsid w:val="00511A3D"/>
    <w:rsid w:val="00524172"/>
    <w:rsid w:val="0054336D"/>
    <w:rsid w:val="00560186"/>
    <w:rsid w:val="00564EBD"/>
    <w:rsid w:val="0056551D"/>
    <w:rsid w:val="00570B4C"/>
    <w:rsid w:val="00583C71"/>
    <w:rsid w:val="00584BB8"/>
    <w:rsid w:val="005A182B"/>
    <w:rsid w:val="005A3CA4"/>
    <w:rsid w:val="005A5E8B"/>
    <w:rsid w:val="005A7697"/>
    <w:rsid w:val="005A7A1A"/>
    <w:rsid w:val="005B5B4E"/>
    <w:rsid w:val="005D3DA9"/>
    <w:rsid w:val="005F082B"/>
    <w:rsid w:val="005F2751"/>
    <w:rsid w:val="00600DA3"/>
    <w:rsid w:val="00636CED"/>
    <w:rsid w:val="006460CB"/>
    <w:rsid w:val="00660330"/>
    <w:rsid w:val="00670DB4"/>
    <w:rsid w:val="00677E5A"/>
    <w:rsid w:val="0069498F"/>
    <w:rsid w:val="00695725"/>
    <w:rsid w:val="006C0D17"/>
    <w:rsid w:val="006D2F1A"/>
    <w:rsid w:val="006E5ABE"/>
    <w:rsid w:val="006F3BBA"/>
    <w:rsid w:val="007032EF"/>
    <w:rsid w:val="0079410B"/>
    <w:rsid w:val="00797F9A"/>
    <w:rsid w:val="007A6C45"/>
    <w:rsid w:val="007C0EF2"/>
    <w:rsid w:val="007C660F"/>
    <w:rsid w:val="00801C21"/>
    <w:rsid w:val="00812AF3"/>
    <w:rsid w:val="0081415D"/>
    <w:rsid w:val="00816E57"/>
    <w:rsid w:val="008356AF"/>
    <w:rsid w:val="00853669"/>
    <w:rsid w:val="00855C7B"/>
    <w:rsid w:val="008618FB"/>
    <w:rsid w:val="00871AC0"/>
    <w:rsid w:val="00875D9D"/>
    <w:rsid w:val="00876B18"/>
    <w:rsid w:val="00877D6A"/>
    <w:rsid w:val="008B25A7"/>
    <w:rsid w:val="008B2D6C"/>
    <w:rsid w:val="008C7AAB"/>
    <w:rsid w:val="008E0E8E"/>
    <w:rsid w:val="009029F5"/>
    <w:rsid w:val="009266F2"/>
    <w:rsid w:val="00926B9C"/>
    <w:rsid w:val="0094058A"/>
    <w:rsid w:val="009439E1"/>
    <w:rsid w:val="0096118A"/>
    <w:rsid w:val="00966DAB"/>
    <w:rsid w:val="009736F2"/>
    <w:rsid w:val="0097751C"/>
    <w:rsid w:val="00980803"/>
    <w:rsid w:val="00980A35"/>
    <w:rsid w:val="009B5934"/>
    <w:rsid w:val="009D1296"/>
    <w:rsid w:val="009E253F"/>
    <w:rsid w:val="009E7B04"/>
    <w:rsid w:val="00A029D0"/>
    <w:rsid w:val="00A20F60"/>
    <w:rsid w:val="00A2567F"/>
    <w:rsid w:val="00A26687"/>
    <w:rsid w:val="00A26C4E"/>
    <w:rsid w:val="00A55DF1"/>
    <w:rsid w:val="00A70AD5"/>
    <w:rsid w:val="00AC3E7E"/>
    <w:rsid w:val="00AE6194"/>
    <w:rsid w:val="00AF25A7"/>
    <w:rsid w:val="00B076C9"/>
    <w:rsid w:val="00B07FD1"/>
    <w:rsid w:val="00B63765"/>
    <w:rsid w:val="00B640B2"/>
    <w:rsid w:val="00B67609"/>
    <w:rsid w:val="00B85A40"/>
    <w:rsid w:val="00B8665F"/>
    <w:rsid w:val="00B86D74"/>
    <w:rsid w:val="00B93BC4"/>
    <w:rsid w:val="00BB2638"/>
    <w:rsid w:val="00BD13FA"/>
    <w:rsid w:val="00BD7E15"/>
    <w:rsid w:val="00BE187A"/>
    <w:rsid w:val="00C01899"/>
    <w:rsid w:val="00C05C62"/>
    <w:rsid w:val="00C2714A"/>
    <w:rsid w:val="00C345D6"/>
    <w:rsid w:val="00C3465F"/>
    <w:rsid w:val="00C37037"/>
    <w:rsid w:val="00C370B2"/>
    <w:rsid w:val="00C568A5"/>
    <w:rsid w:val="00C56C49"/>
    <w:rsid w:val="00C61247"/>
    <w:rsid w:val="00C66BEC"/>
    <w:rsid w:val="00C72DCE"/>
    <w:rsid w:val="00C7387E"/>
    <w:rsid w:val="00C74198"/>
    <w:rsid w:val="00C806D8"/>
    <w:rsid w:val="00CC4C5A"/>
    <w:rsid w:val="00CC622D"/>
    <w:rsid w:val="00CD22AE"/>
    <w:rsid w:val="00CD66A0"/>
    <w:rsid w:val="00CE0204"/>
    <w:rsid w:val="00D260A8"/>
    <w:rsid w:val="00D41C30"/>
    <w:rsid w:val="00D437E0"/>
    <w:rsid w:val="00D661AB"/>
    <w:rsid w:val="00D67A7C"/>
    <w:rsid w:val="00D745DC"/>
    <w:rsid w:val="00D8746A"/>
    <w:rsid w:val="00D87A43"/>
    <w:rsid w:val="00DB3B32"/>
    <w:rsid w:val="00DC0BCB"/>
    <w:rsid w:val="00DC3256"/>
    <w:rsid w:val="00DD3B5C"/>
    <w:rsid w:val="00DD7A16"/>
    <w:rsid w:val="00DE1F25"/>
    <w:rsid w:val="00DE273B"/>
    <w:rsid w:val="00DF5D77"/>
    <w:rsid w:val="00E0054A"/>
    <w:rsid w:val="00E06997"/>
    <w:rsid w:val="00E157C8"/>
    <w:rsid w:val="00E22681"/>
    <w:rsid w:val="00E505AE"/>
    <w:rsid w:val="00E541F5"/>
    <w:rsid w:val="00E748DE"/>
    <w:rsid w:val="00E97BD3"/>
    <w:rsid w:val="00EA1B63"/>
    <w:rsid w:val="00EA41EC"/>
    <w:rsid w:val="00EF1AD6"/>
    <w:rsid w:val="00EF7681"/>
    <w:rsid w:val="00F34EE7"/>
    <w:rsid w:val="00F428C7"/>
    <w:rsid w:val="00F52349"/>
    <w:rsid w:val="00F779A1"/>
    <w:rsid w:val="00FB1A05"/>
    <w:rsid w:val="00FC0931"/>
    <w:rsid w:val="00FE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7dc242,#004687"/>
      <o:colormenu v:ext="edit" fillcolor="#004687"/>
    </o:shapedefaults>
    <o:shapelayout v:ext="edit">
      <o:idmap v:ext="edit" data="1"/>
    </o:shapelayout>
  </w:shapeDefaults>
  <w:decimalSymbol w:val="."/>
  <w:listSeparator w:val=","/>
  <w14:docId w14:val="02C93471"/>
  <w15:docId w15:val="{08A2E252-62B5-4EFD-B574-77A091A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pPr>
      <w:autoSpaceDE w:val="0"/>
      <w:autoSpaceDN w:val="0"/>
      <w:adjustRightInd w:val="0"/>
      <w:spacing w:before="300" w:after="60"/>
      <w:outlineLvl w:val="1"/>
    </w:pPr>
    <w:rPr>
      <w:b/>
      <w:bCs/>
      <w:color w:val="83BC26"/>
      <w:szCs w:val="22"/>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Pr>
      <w:rFonts w:ascii="Arial" w:hAnsi="Arial" w:cs="Arial"/>
      <w:b/>
      <w:bCs/>
      <w:color w:val="83BC26"/>
      <w:sz w:val="22"/>
      <w:szCs w:val="22"/>
      <w:lang w:val="en-GB" w:eastAsia="en-GB"/>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87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e-sgn.emptoris.com/emptoris/sso_login.jsp" TargetMode="External"/><Relationship Id="rId13" Type="http://schemas.openxmlformats.org/officeDocument/2006/relationships/hyperlink" Target="ftp://public.dhe.ibm.com/software/commerce/emptoris/supplier_tutorials/en/ViewingLotsItemsandAttachments.mp4"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tp://public.dhe.ibm.com/software/commerce/emptoris/supplier_tutorials/en/UploadingandDownloadingAttachments.mp4"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public.dhe.ibm.com/software/commerce/emptoris/supplier_tutorials/en/RespondingtoQuestions.mp4"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ftp://public.dhe.ibm.com/software/commerce/emptoris/supplier_tutorials/en/PlacingBidsOnSetOfItems.mp4" TargetMode="External"/><Relationship Id="rId23" Type="http://schemas.openxmlformats.org/officeDocument/2006/relationships/theme" Target="theme/theme1.xml"/><Relationship Id="rId10" Type="http://schemas.openxmlformats.org/officeDocument/2006/relationships/hyperlink" Target="ftp://public.dhe.ibm.com/software/commerce/emptoris/supplier_tutorials/en/AcceptingRFx.mp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03.ibm.com/procurement/proweb.nsf/contentdocsbytitle/Emptoris+Sourcing~Emptoris+Sourcing+User+guide" TargetMode="External"/><Relationship Id="rId14" Type="http://schemas.openxmlformats.org/officeDocument/2006/relationships/hyperlink" Target="ftp://public.dhe.ibm.com/software/commerce/emptoris/supplier_tutorials/en/UsingSystemMessages.mp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F53E7250299E45A50BFD1F443EE334" ma:contentTypeVersion="4" ma:contentTypeDescription="Create a new document." ma:contentTypeScope="" ma:versionID="bcfec6b2d3d9fd7fbfcc318005aa875a">
  <xsd:schema xmlns:xsd="http://www.w3.org/2001/XMLSchema" xmlns:xs="http://www.w3.org/2001/XMLSchema" xmlns:p="http://schemas.microsoft.com/office/2006/metadata/properties" xmlns:ns2="a38a26ea-cc76-4c15-a167-0ddd328abd21" targetNamespace="http://schemas.microsoft.com/office/2006/metadata/properties" ma:root="true" ma:fieldsID="261253cef25ff26f668afe072b3ca294" ns2:_="">
    <xsd:import namespace="a38a26ea-cc76-4c15-a167-0ddd328ab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a26ea-cc76-4c15-a167-0ddd328a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639DC-100B-4A22-8AE3-1A0906BD4198}">
  <ds:schemaRefs>
    <ds:schemaRef ds:uri="http://schemas.openxmlformats.org/officeDocument/2006/bibliography"/>
  </ds:schemaRefs>
</ds:datastoreItem>
</file>

<file path=customXml/itemProps2.xml><?xml version="1.0" encoding="utf-8"?>
<ds:datastoreItem xmlns:ds="http://schemas.openxmlformats.org/officeDocument/2006/customXml" ds:itemID="{F2ED7C0C-DEC7-4110-835F-F5633D6DF34E}"/>
</file>

<file path=customXml/itemProps3.xml><?xml version="1.0" encoding="utf-8"?>
<ds:datastoreItem xmlns:ds="http://schemas.openxmlformats.org/officeDocument/2006/customXml" ds:itemID="{2F0F8D95-80C7-48BF-B90E-7625459689F5}"/>
</file>

<file path=customXml/itemProps4.xml><?xml version="1.0" encoding="utf-8"?>
<ds:datastoreItem xmlns:ds="http://schemas.openxmlformats.org/officeDocument/2006/customXml" ds:itemID="{4B75CD18-D370-454E-9E57-26C71FFCF6EA}"/>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Procurement Strategy</vt:lpstr>
    </vt:vector>
  </TitlesOfParts>
  <Company>Scottish and Southern Energy plc</Company>
  <LinksUpToDate>false</LinksUpToDate>
  <CharactersWithSpaces>7863</CharactersWithSpaces>
  <SharedDoc>false</SharedDoc>
  <HLinks>
    <vt:vector size="6" baseType="variant">
      <vt:variant>
        <vt:i4>3342434</vt:i4>
      </vt:variant>
      <vt:variant>
        <vt:i4>0</vt:i4>
      </vt:variant>
      <vt:variant>
        <vt:i4>0</vt:i4>
      </vt:variant>
      <vt:variant>
        <vt:i4>5</vt:i4>
      </vt:variant>
      <vt:variant>
        <vt:lpwstr>http://www.sse.com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Attachment 003 (Emptoris Guidance) - FO-PRS-EMP-113 - v1.01.docx</dc:title>
  <dc:creator>Hartley, Shaun</dc:creator>
  <cp:keywords/>
  <cp:lastModifiedBy>Sweeney, Gerard</cp:lastModifiedBy>
  <cp:revision>2</cp:revision>
  <cp:lastPrinted>2016-08-03T14:41:00Z</cp:lastPrinted>
  <dcterms:created xsi:type="dcterms:W3CDTF">2019-10-21T15:45:00Z</dcterms:created>
  <dcterms:modified xsi:type="dcterms:W3CDTF">2019-10-21T15:45:00Z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0x010100D5F53E7250299E45A50BFD1F443EE334</vt:lpwstr>
  </property>
</Properties>
</file>