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D1BF0" w14:textId="77777777" w:rsidR="00311D7F" w:rsidRPr="00D41E50" w:rsidRDefault="00311D7F" w:rsidP="00311E73">
      <w:pPr>
        <w:jc w:val="both"/>
      </w:pPr>
    </w:p>
    <w:p w14:paraId="43E5BD8C" w14:textId="77777777" w:rsidR="00311D7F" w:rsidRPr="00D41E50" w:rsidRDefault="00311D7F" w:rsidP="00311E73">
      <w:pPr>
        <w:jc w:val="both"/>
      </w:pPr>
    </w:p>
    <w:p w14:paraId="5FA58B55" w14:textId="77777777" w:rsidR="00311D7F" w:rsidRPr="00D41E50" w:rsidRDefault="00311D7F" w:rsidP="00311E73">
      <w:pPr>
        <w:jc w:val="both"/>
      </w:pPr>
    </w:p>
    <w:p w14:paraId="6CDF3629" w14:textId="77777777" w:rsidR="00311D7F" w:rsidRPr="00D41E50" w:rsidRDefault="00311D7F" w:rsidP="00311E73">
      <w:pPr>
        <w:jc w:val="both"/>
      </w:pPr>
    </w:p>
    <w:p w14:paraId="4A2DAD84" w14:textId="77777777" w:rsidR="00311D7F" w:rsidRPr="00D41E50" w:rsidRDefault="00311D7F" w:rsidP="00311E73">
      <w:pPr>
        <w:jc w:val="both"/>
      </w:pPr>
    </w:p>
    <w:p w14:paraId="55668D13" w14:textId="77777777" w:rsidR="00311D7F" w:rsidRPr="00D41E50" w:rsidRDefault="00311D7F" w:rsidP="00311E73">
      <w:pPr>
        <w:jc w:val="both"/>
      </w:pPr>
    </w:p>
    <w:p w14:paraId="5A3EEFDC" w14:textId="77777777" w:rsidR="00311D7F" w:rsidRPr="00D41E50" w:rsidRDefault="00311D7F" w:rsidP="00311E73">
      <w:pPr>
        <w:jc w:val="both"/>
      </w:pPr>
    </w:p>
    <w:p w14:paraId="3B84C295" w14:textId="77777777" w:rsidR="00311D7F" w:rsidRPr="00D41E50" w:rsidRDefault="00311D7F" w:rsidP="00311E73">
      <w:pPr>
        <w:jc w:val="both"/>
      </w:pPr>
    </w:p>
    <w:p w14:paraId="6F29AB0A" w14:textId="77777777" w:rsidR="00311D7F" w:rsidRPr="00D41E50" w:rsidRDefault="00311D7F" w:rsidP="00311E73">
      <w:pPr>
        <w:jc w:val="both"/>
      </w:pPr>
    </w:p>
    <w:p w14:paraId="2C938177" w14:textId="77777777" w:rsidR="00311D7F" w:rsidRPr="00D41E50" w:rsidRDefault="00311D7F" w:rsidP="00311E73">
      <w:pPr>
        <w:jc w:val="both"/>
      </w:pPr>
    </w:p>
    <w:p w14:paraId="31DA7C30" w14:textId="77777777" w:rsidR="00311D7F" w:rsidRPr="00D41E50" w:rsidRDefault="00311D7F" w:rsidP="00311E73">
      <w:pPr>
        <w:jc w:val="both"/>
      </w:pPr>
    </w:p>
    <w:p w14:paraId="25DAFBA1" w14:textId="77777777" w:rsidR="00311D7F" w:rsidRPr="00D41E50" w:rsidRDefault="00311D7F" w:rsidP="00311E73">
      <w:pPr>
        <w:jc w:val="both"/>
      </w:pPr>
    </w:p>
    <w:p w14:paraId="5CF4202F" w14:textId="77777777" w:rsidR="00311D7F" w:rsidRPr="00D41E50" w:rsidRDefault="00311D7F" w:rsidP="00311E73">
      <w:pPr>
        <w:jc w:val="both"/>
      </w:pPr>
    </w:p>
    <w:p w14:paraId="1C839CF8" w14:textId="77777777" w:rsidR="00311D7F" w:rsidRPr="00D41E50" w:rsidRDefault="00311D7F" w:rsidP="00311E73">
      <w:pPr>
        <w:jc w:val="both"/>
      </w:pPr>
    </w:p>
    <w:p w14:paraId="00298D2C" w14:textId="77777777" w:rsidR="00311D7F" w:rsidRPr="00D41E50" w:rsidRDefault="00311D7F" w:rsidP="00311E73">
      <w:pPr>
        <w:jc w:val="both"/>
      </w:pPr>
    </w:p>
    <w:p w14:paraId="55197181" w14:textId="77777777" w:rsidR="00311D7F" w:rsidRPr="00D41E50" w:rsidRDefault="00311D7F" w:rsidP="00311E73">
      <w:pPr>
        <w:jc w:val="both"/>
      </w:pPr>
    </w:p>
    <w:p w14:paraId="4C243542" w14:textId="77777777" w:rsidR="00311D7F" w:rsidRPr="00D41E50" w:rsidRDefault="00311D7F" w:rsidP="00311E73">
      <w:pPr>
        <w:jc w:val="both"/>
      </w:pPr>
    </w:p>
    <w:p w14:paraId="241C1393" w14:textId="77777777" w:rsidR="00311D7F" w:rsidRPr="00D41E50" w:rsidRDefault="00311D7F" w:rsidP="00311E73">
      <w:pPr>
        <w:jc w:val="both"/>
      </w:pPr>
    </w:p>
    <w:p w14:paraId="6427A5C6" w14:textId="725983A9" w:rsidR="00311D7F" w:rsidRPr="00D41E50" w:rsidRDefault="009A791C" w:rsidP="009A791C">
      <w:pPr>
        <w:tabs>
          <w:tab w:val="left" w:pos="7290"/>
        </w:tabs>
        <w:jc w:val="both"/>
      </w:pPr>
      <w:r>
        <w:tab/>
      </w:r>
    </w:p>
    <w:p w14:paraId="600F7FAF" w14:textId="77777777" w:rsidR="00311D7F" w:rsidRPr="00D41E50" w:rsidRDefault="00311D7F" w:rsidP="00311E73">
      <w:pPr>
        <w:jc w:val="both"/>
      </w:pPr>
    </w:p>
    <w:p w14:paraId="4DA245D9" w14:textId="77777777" w:rsidR="00311D7F" w:rsidRPr="00D41E50" w:rsidRDefault="00311D7F" w:rsidP="00311E73">
      <w:pPr>
        <w:jc w:val="both"/>
      </w:pPr>
    </w:p>
    <w:p w14:paraId="655E7789" w14:textId="77777777" w:rsidR="00311D7F" w:rsidRPr="00D41E50" w:rsidRDefault="00311D7F" w:rsidP="00311E73">
      <w:pPr>
        <w:jc w:val="both"/>
      </w:pPr>
    </w:p>
    <w:p w14:paraId="2D74E692" w14:textId="2B73F29F" w:rsidR="000A1B18" w:rsidRDefault="00682784" w:rsidP="00F2420C">
      <w:pPr>
        <w:jc w:val="center"/>
        <w:rPr>
          <w:b/>
          <w:sz w:val="28"/>
          <w:szCs w:val="28"/>
        </w:rPr>
      </w:pPr>
      <w:r w:rsidRPr="00682784">
        <w:rPr>
          <w:b/>
          <w:sz w:val="28"/>
          <w:szCs w:val="28"/>
        </w:rPr>
        <w:t>RFI FW Supply &amp; Install - EV Charging Infrastructure - Multisite 1225</w:t>
      </w:r>
    </w:p>
    <w:p w14:paraId="0DA1A572" w14:textId="09834704" w:rsidR="00311D7F" w:rsidRPr="004B1052" w:rsidRDefault="00311D7F" w:rsidP="00F2420C">
      <w:pPr>
        <w:jc w:val="center"/>
        <w:rPr>
          <w:b/>
          <w:sz w:val="28"/>
          <w:szCs w:val="28"/>
        </w:rPr>
      </w:pPr>
      <w:r>
        <w:rPr>
          <w:b/>
          <w:sz w:val="28"/>
          <w:szCs w:val="28"/>
        </w:rPr>
        <w:t xml:space="preserve">Reference: </w:t>
      </w:r>
      <w:r w:rsidR="00682784">
        <w:rPr>
          <w:b/>
          <w:sz w:val="28"/>
          <w:szCs w:val="28"/>
        </w:rPr>
        <w:t>67180</w:t>
      </w:r>
    </w:p>
    <w:p w14:paraId="0D54AF67" w14:textId="77777777" w:rsidR="00311D7F" w:rsidRPr="004B1052" w:rsidRDefault="00311D7F" w:rsidP="00F2420C">
      <w:pPr>
        <w:jc w:val="center"/>
        <w:rPr>
          <w:b/>
          <w:sz w:val="28"/>
          <w:szCs w:val="28"/>
        </w:rPr>
      </w:pPr>
    </w:p>
    <w:p w14:paraId="04D9C39C" w14:textId="29863F14" w:rsidR="00311D7F" w:rsidRPr="004B1052" w:rsidRDefault="00682784" w:rsidP="00F2420C">
      <w:pPr>
        <w:jc w:val="center"/>
        <w:rPr>
          <w:b/>
          <w:sz w:val="28"/>
          <w:szCs w:val="28"/>
        </w:rPr>
      </w:pPr>
      <w:r>
        <w:rPr>
          <w:b/>
          <w:sz w:val="28"/>
          <w:szCs w:val="28"/>
        </w:rPr>
        <w:t>Pre-Qualification Questionnaire</w:t>
      </w:r>
    </w:p>
    <w:p w14:paraId="3131EC33" w14:textId="15E17F2F" w:rsidR="00311D7F" w:rsidRPr="004B1052" w:rsidRDefault="00311D7F" w:rsidP="00F2420C">
      <w:pPr>
        <w:jc w:val="center"/>
        <w:rPr>
          <w:b/>
          <w:sz w:val="28"/>
          <w:szCs w:val="28"/>
        </w:rPr>
      </w:pPr>
      <w:r w:rsidRPr="004B1052">
        <w:rPr>
          <w:b/>
          <w:sz w:val="28"/>
          <w:szCs w:val="28"/>
        </w:rPr>
        <w:t xml:space="preserve">Instructions to </w:t>
      </w:r>
      <w:r w:rsidR="005352F2">
        <w:rPr>
          <w:b/>
          <w:sz w:val="28"/>
          <w:szCs w:val="28"/>
        </w:rPr>
        <w:t>Potential Provider</w:t>
      </w:r>
      <w:r w:rsidR="00636A40">
        <w:rPr>
          <w:b/>
          <w:sz w:val="28"/>
          <w:szCs w:val="28"/>
        </w:rPr>
        <w:t>s</w:t>
      </w:r>
    </w:p>
    <w:p w14:paraId="633F20AA" w14:textId="77777777" w:rsidR="00311D7F" w:rsidRPr="00D41E50" w:rsidRDefault="00311D7F" w:rsidP="00311E73">
      <w:pPr>
        <w:jc w:val="both"/>
      </w:pPr>
    </w:p>
    <w:p w14:paraId="07D5062F" w14:textId="77777777" w:rsidR="00311D7F" w:rsidRPr="00D41E50" w:rsidRDefault="00311D7F" w:rsidP="00311E73">
      <w:pPr>
        <w:jc w:val="both"/>
      </w:pPr>
    </w:p>
    <w:p w14:paraId="125AE62F" w14:textId="77777777" w:rsidR="00311D7F" w:rsidRPr="00D41E50" w:rsidRDefault="00311D7F" w:rsidP="00311E73">
      <w:pPr>
        <w:jc w:val="both"/>
      </w:pPr>
    </w:p>
    <w:p w14:paraId="443D59E3" w14:textId="77777777" w:rsidR="00311D7F" w:rsidRPr="00D41E50" w:rsidRDefault="00311D7F" w:rsidP="00311E73">
      <w:pPr>
        <w:jc w:val="both"/>
      </w:pPr>
    </w:p>
    <w:p w14:paraId="41C5F6C8" w14:textId="77777777" w:rsidR="00311D7F" w:rsidRPr="00D41E50" w:rsidRDefault="00311D7F" w:rsidP="00311E73">
      <w:pPr>
        <w:jc w:val="both"/>
      </w:pPr>
    </w:p>
    <w:p w14:paraId="6299234E" w14:textId="77777777" w:rsidR="00311D7F" w:rsidRPr="00D41E50" w:rsidRDefault="00311D7F" w:rsidP="00311E73">
      <w:pPr>
        <w:jc w:val="both"/>
      </w:pPr>
    </w:p>
    <w:p w14:paraId="27EC6092" w14:textId="77777777" w:rsidR="00311D7F" w:rsidRPr="00D41E50" w:rsidRDefault="00311D7F" w:rsidP="00311E73">
      <w:pPr>
        <w:jc w:val="both"/>
      </w:pPr>
    </w:p>
    <w:p w14:paraId="300D44C4" w14:textId="504CC7FA" w:rsidR="002706D7" w:rsidRDefault="002706D7">
      <w:pPr>
        <w:rPr>
          <w:color w:val="FF0000"/>
        </w:rPr>
      </w:pPr>
      <w:r>
        <w:rPr>
          <w:color w:val="FF0000"/>
        </w:rPr>
        <w:br w:type="page"/>
      </w:r>
    </w:p>
    <w:p w14:paraId="2CA09DC2" w14:textId="77777777" w:rsidR="002242CD" w:rsidRPr="002242CD" w:rsidRDefault="002242CD" w:rsidP="002706D7">
      <w:pPr>
        <w:pStyle w:val="ListParagraph"/>
        <w:jc w:val="both"/>
        <w:rPr>
          <w:color w:val="FF0000"/>
        </w:rPr>
      </w:pPr>
    </w:p>
    <w:p w14:paraId="19444265" w14:textId="77777777" w:rsidR="00311D7F" w:rsidRPr="00D41E50" w:rsidRDefault="00311D7F" w:rsidP="00311E73">
      <w:pPr>
        <w:jc w:val="both"/>
      </w:pPr>
    </w:p>
    <w:p w14:paraId="6AB3EE70" w14:textId="77777777" w:rsidR="00311D7F" w:rsidRPr="00D41E50" w:rsidRDefault="00311D7F" w:rsidP="00311E73">
      <w:pPr>
        <w:jc w:val="both"/>
      </w:pPr>
    </w:p>
    <w:p w14:paraId="2E966FE1" w14:textId="77777777" w:rsidR="00311D7F" w:rsidRPr="00D41E50" w:rsidRDefault="00311D7F" w:rsidP="00311E73">
      <w:pPr>
        <w:jc w:val="both"/>
      </w:pPr>
    </w:p>
    <w:p w14:paraId="5C4ED704" w14:textId="77777777" w:rsidR="00311D7F" w:rsidRPr="00D41E50" w:rsidRDefault="00311D7F" w:rsidP="00311E73">
      <w:pPr>
        <w:jc w:val="both"/>
      </w:pPr>
    </w:p>
    <w:p w14:paraId="579B8AD8" w14:textId="77777777" w:rsidR="00311D7F" w:rsidRPr="00D41E50" w:rsidRDefault="00311D7F" w:rsidP="00311E73">
      <w:pPr>
        <w:jc w:val="both"/>
      </w:pPr>
    </w:p>
    <w:p w14:paraId="052A6ADF" w14:textId="77777777" w:rsidR="00311D7F" w:rsidRPr="00D41E50" w:rsidRDefault="00311D7F" w:rsidP="00311E73">
      <w:pPr>
        <w:jc w:val="both"/>
      </w:pPr>
    </w:p>
    <w:p w14:paraId="47529DCA" w14:textId="77777777" w:rsidR="00311D7F" w:rsidRPr="00D41E50" w:rsidRDefault="00311D7F" w:rsidP="00311E73">
      <w:pPr>
        <w:jc w:val="both"/>
      </w:pPr>
    </w:p>
    <w:p w14:paraId="0D424BE6" w14:textId="77777777" w:rsidR="009A791C" w:rsidRDefault="009A791C" w:rsidP="00311E73">
      <w:pPr>
        <w:jc w:val="both"/>
      </w:pPr>
    </w:p>
    <w:p w14:paraId="2359E4E1" w14:textId="77777777" w:rsidR="009A791C" w:rsidRDefault="009A791C" w:rsidP="00311E73">
      <w:pPr>
        <w:jc w:val="both"/>
      </w:pPr>
    </w:p>
    <w:p w14:paraId="39438C5C" w14:textId="1252E903" w:rsidR="00311D7F" w:rsidRDefault="00311D7F" w:rsidP="00311E73">
      <w:pPr>
        <w:jc w:val="both"/>
      </w:pPr>
      <w:r w:rsidRPr="00D41E50">
        <w:t>This page has been intentionally left blank</w:t>
      </w:r>
      <w:r w:rsidR="009A791C">
        <w:t>.</w:t>
      </w:r>
    </w:p>
    <w:p w14:paraId="11C1C56D" w14:textId="77777777" w:rsidR="009A791C" w:rsidRPr="00D41E50" w:rsidRDefault="009A791C" w:rsidP="00311E73">
      <w:pPr>
        <w:jc w:val="both"/>
        <w:sectPr w:rsidR="009A791C" w:rsidRPr="00D41E50" w:rsidSect="00700E17">
          <w:headerReference w:type="even" r:id="rId11"/>
          <w:headerReference w:type="default" r:id="rId12"/>
          <w:footerReference w:type="even" r:id="rId13"/>
          <w:footerReference w:type="default" r:id="rId14"/>
          <w:headerReference w:type="first" r:id="rId15"/>
          <w:footerReference w:type="first" r:id="rId16"/>
          <w:pgSz w:w="11905" w:h="16838"/>
          <w:pgMar w:top="1440" w:right="1440" w:bottom="1440" w:left="1440" w:header="357" w:footer="720" w:gutter="0"/>
          <w:cols w:space="720"/>
          <w:titlePg/>
        </w:sectPr>
      </w:pPr>
    </w:p>
    <w:p w14:paraId="6F6C7093" w14:textId="77777777" w:rsidR="00311D7F" w:rsidRPr="00D41E50" w:rsidRDefault="00311D7F" w:rsidP="00311E73">
      <w:pPr>
        <w:jc w:val="both"/>
        <w:rPr>
          <w:b/>
        </w:rPr>
      </w:pPr>
    </w:p>
    <w:p w14:paraId="2E27985C" w14:textId="77777777" w:rsidR="00311D7F" w:rsidRPr="00D41E50" w:rsidRDefault="00311D7F" w:rsidP="00311E73">
      <w:pPr>
        <w:jc w:val="both"/>
        <w:rPr>
          <w:b/>
        </w:rPr>
      </w:pPr>
      <w:r w:rsidRPr="00D41E50">
        <w:rPr>
          <w:b/>
        </w:rPr>
        <w:t>Table of Contents</w:t>
      </w:r>
    </w:p>
    <w:p w14:paraId="400CDD0F" w14:textId="77777777" w:rsidR="00311D7F" w:rsidRPr="00D41E50" w:rsidRDefault="00311D7F" w:rsidP="00311E73">
      <w:pPr>
        <w:jc w:val="both"/>
      </w:pPr>
    </w:p>
    <w:p w14:paraId="488967E8" w14:textId="77777777" w:rsidR="00311D7F" w:rsidRPr="00D41E50" w:rsidRDefault="00311D7F" w:rsidP="00311E73">
      <w:pPr>
        <w:jc w:val="both"/>
      </w:pPr>
    </w:p>
    <w:p w14:paraId="3667223B" w14:textId="7B422D44" w:rsidR="00FC7A2D" w:rsidRDefault="00302D8F">
      <w:pPr>
        <w:pStyle w:val="TOC1"/>
        <w:rPr>
          <w:rFonts w:asciiTheme="minorHAnsi" w:eastAsiaTheme="minorEastAsia" w:hAnsiTheme="minorHAnsi" w:cstheme="minorBidi"/>
          <w:sz w:val="22"/>
          <w:szCs w:val="22"/>
        </w:rPr>
      </w:pPr>
      <w:r w:rsidRPr="00D41E50">
        <w:rPr>
          <w:sz w:val="19"/>
          <w:szCs w:val="19"/>
        </w:rPr>
        <w:fldChar w:fldCharType="begin"/>
      </w:r>
      <w:r w:rsidR="00311D7F" w:rsidRPr="00D41E50">
        <w:rPr>
          <w:sz w:val="19"/>
          <w:szCs w:val="19"/>
        </w:rPr>
        <w:instrText xml:space="preserve"> TOC \o "1-3" \h \z \u </w:instrText>
      </w:r>
      <w:r w:rsidRPr="00D41E50">
        <w:rPr>
          <w:sz w:val="19"/>
          <w:szCs w:val="19"/>
        </w:rPr>
        <w:fldChar w:fldCharType="separate"/>
      </w:r>
      <w:hyperlink w:anchor="_Toc25161482" w:history="1">
        <w:r w:rsidR="00FC7A2D" w:rsidRPr="00DE577D">
          <w:rPr>
            <w:rStyle w:val="Hyperlink"/>
          </w:rPr>
          <w:t>1.</w:t>
        </w:r>
        <w:r w:rsidR="00FC7A2D">
          <w:rPr>
            <w:rFonts w:asciiTheme="minorHAnsi" w:eastAsiaTheme="minorEastAsia" w:hAnsiTheme="minorHAnsi" w:cstheme="minorBidi"/>
            <w:sz w:val="22"/>
            <w:szCs w:val="22"/>
          </w:rPr>
          <w:tab/>
        </w:r>
        <w:r w:rsidR="00FC7A2D" w:rsidRPr="00DE577D">
          <w:rPr>
            <w:rStyle w:val="Hyperlink"/>
          </w:rPr>
          <w:t>Definitions and interpretation</w:t>
        </w:r>
        <w:r w:rsidR="00FC7A2D">
          <w:rPr>
            <w:webHidden/>
          </w:rPr>
          <w:tab/>
        </w:r>
        <w:r w:rsidR="00FC7A2D">
          <w:rPr>
            <w:webHidden/>
          </w:rPr>
          <w:fldChar w:fldCharType="begin"/>
        </w:r>
        <w:r w:rsidR="00FC7A2D">
          <w:rPr>
            <w:webHidden/>
          </w:rPr>
          <w:instrText xml:space="preserve"> PAGEREF _Toc25161482 \h </w:instrText>
        </w:r>
        <w:r w:rsidR="00FC7A2D">
          <w:rPr>
            <w:webHidden/>
          </w:rPr>
        </w:r>
        <w:r w:rsidR="00FC7A2D">
          <w:rPr>
            <w:webHidden/>
          </w:rPr>
          <w:fldChar w:fldCharType="separate"/>
        </w:r>
        <w:r w:rsidR="00FC7A2D">
          <w:rPr>
            <w:webHidden/>
          </w:rPr>
          <w:t>4</w:t>
        </w:r>
        <w:r w:rsidR="00FC7A2D">
          <w:rPr>
            <w:webHidden/>
          </w:rPr>
          <w:fldChar w:fldCharType="end"/>
        </w:r>
      </w:hyperlink>
    </w:p>
    <w:p w14:paraId="2D9902F5" w14:textId="1D0ACE9D" w:rsidR="00FC7A2D" w:rsidRDefault="00682784">
      <w:pPr>
        <w:pStyle w:val="TOC1"/>
        <w:rPr>
          <w:rFonts w:asciiTheme="minorHAnsi" w:eastAsiaTheme="minorEastAsia" w:hAnsiTheme="minorHAnsi" w:cstheme="minorBidi"/>
          <w:sz w:val="22"/>
          <w:szCs w:val="22"/>
        </w:rPr>
      </w:pPr>
      <w:hyperlink w:anchor="_Toc25161483" w:history="1">
        <w:r w:rsidR="00FC7A2D" w:rsidRPr="00DE577D">
          <w:rPr>
            <w:rStyle w:val="Hyperlink"/>
          </w:rPr>
          <w:t>2.</w:t>
        </w:r>
        <w:r w:rsidR="00FC7A2D">
          <w:rPr>
            <w:rFonts w:asciiTheme="minorHAnsi" w:eastAsiaTheme="minorEastAsia" w:hAnsiTheme="minorHAnsi" w:cstheme="minorBidi"/>
            <w:sz w:val="22"/>
            <w:szCs w:val="22"/>
          </w:rPr>
          <w:tab/>
        </w:r>
        <w:r w:rsidR="00FC7A2D" w:rsidRPr="00DE577D">
          <w:rPr>
            <w:rStyle w:val="Hyperlink"/>
          </w:rPr>
          <w:t>Introduction</w:t>
        </w:r>
        <w:r w:rsidR="00FC7A2D">
          <w:rPr>
            <w:webHidden/>
          </w:rPr>
          <w:tab/>
        </w:r>
        <w:r w:rsidR="00FC7A2D">
          <w:rPr>
            <w:webHidden/>
          </w:rPr>
          <w:fldChar w:fldCharType="begin"/>
        </w:r>
        <w:r w:rsidR="00FC7A2D">
          <w:rPr>
            <w:webHidden/>
          </w:rPr>
          <w:instrText xml:space="preserve"> PAGEREF _Toc25161483 \h </w:instrText>
        </w:r>
        <w:r w:rsidR="00FC7A2D">
          <w:rPr>
            <w:webHidden/>
          </w:rPr>
        </w:r>
        <w:r w:rsidR="00FC7A2D">
          <w:rPr>
            <w:webHidden/>
          </w:rPr>
          <w:fldChar w:fldCharType="separate"/>
        </w:r>
        <w:r w:rsidR="00FC7A2D">
          <w:rPr>
            <w:webHidden/>
          </w:rPr>
          <w:t>4</w:t>
        </w:r>
        <w:r w:rsidR="00FC7A2D">
          <w:rPr>
            <w:webHidden/>
          </w:rPr>
          <w:fldChar w:fldCharType="end"/>
        </w:r>
      </w:hyperlink>
    </w:p>
    <w:p w14:paraId="62133C74" w14:textId="37761AAD" w:rsidR="00FC7A2D" w:rsidRDefault="00682784">
      <w:pPr>
        <w:pStyle w:val="TOC1"/>
        <w:rPr>
          <w:rFonts w:asciiTheme="minorHAnsi" w:eastAsiaTheme="minorEastAsia" w:hAnsiTheme="minorHAnsi" w:cstheme="minorBidi"/>
          <w:sz w:val="22"/>
          <w:szCs w:val="22"/>
        </w:rPr>
      </w:pPr>
      <w:hyperlink w:anchor="_Toc25161484" w:history="1">
        <w:r w:rsidR="00FC7A2D" w:rsidRPr="00DE577D">
          <w:rPr>
            <w:rStyle w:val="Hyperlink"/>
          </w:rPr>
          <w:t>3.</w:t>
        </w:r>
        <w:r w:rsidR="00FC7A2D">
          <w:rPr>
            <w:rFonts w:asciiTheme="minorHAnsi" w:eastAsiaTheme="minorEastAsia" w:hAnsiTheme="minorHAnsi" w:cstheme="minorBidi"/>
            <w:sz w:val="22"/>
            <w:szCs w:val="22"/>
          </w:rPr>
          <w:tab/>
        </w:r>
        <w:r w:rsidR="00FC7A2D" w:rsidRPr="00DE577D">
          <w:rPr>
            <w:rStyle w:val="Hyperlink"/>
          </w:rPr>
          <w:t>Invitation to Tender (RFx) Documents</w:t>
        </w:r>
        <w:r w:rsidR="00FC7A2D">
          <w:rPr>
            <w:webHidden/>
          </w:rPr>
          <w:tab/>
        </w:r>
        <w:r w:rsidR="00FC7A2D">
          <w:rPr>
            <w:webHidden/>
          </w:rPr>
          <w:fldChar w:fldCharType="begin"/>
        </w:r>
        <w:r w:rsidR="00FC7A2D">
          <w:rPr>
            <w:webHidden/>
          </w:rPr>
          <w:instrText xml:space="preserve"> PAGEREF _Toc25161484 \h </w:instrText>
        </w:r>
        <w:r w:rsidR="00FC7A2D">
          <w:rPr>
            <w:webHidden/>
          </w:rPr>
        </w:r>
        <w:r w:rsidR="00FC7A2D">
          <w:rPr>
            <w:webHidden/>
          </w:rPr>
          <w:fldChar w:fldCharType="separate"/>
        </w:r>
        <w:r w:rsidR="00FC7A2D">
          <w:rPr>
            <w:webHidden/>
          </w:rPr>
          <w:t>4</w:t>
        </w:r>
        <w:r w:rsidR="00FC7A2D">
          <w:rPr>
            <w:webHidden/>
          </w:rPr>
          <w:fldChar w:fldCharType="end"/>
        </w:r>
      </w:hyperlink>
    </w:p>
    <w:p w14:paraId="17032AF9" w14:textId="33234083" w:rsidR="00FC7A2D" w:rsidRDefault="00682784">
      <w:pPr>
        <w:pStyle w:val="TOC1"/>
        <w:rPr>
          <w:rFonts w:asciiTheme="minorHAnsi" w:eastAsiaTheme="minorEastAsia" w:hAnsiTheme="minorHAnsi" w:cstheme="minorBidi"/>
          <w:sz w:val="22"/>
          <w:szCs w:val="22"/>
        </w:rPr>
      </w:pPr>
      <w:hyperlink w:anchor="_Toc25161485" w:history="1">
        <w:r w:rsidR="00FC7A2D" w:rsidRPr="00DE577D">
          <w:rPr>
            <w:rStyle w:val="Hyperlink"/>
          </w:rPr>
          <w:t>4.</w:t>
        </w:r>
        <w:r w:rsidR="00FC7A2D">
          <w:rPr>
            <w:rFonts w:asciiTheme="minorHAnsi" w:eastAsiaTheme="minorEastAsia" w:hAnsiTheme="minorHAnsi" w:cstheme="minorBidi"/>
            <w:sz w:val="22"/>
            <w:szCs w:val="22"/>
          </w:rPr>
          <w:tab/>
        </w:r>
        <w:r w:rsidR="00FC7A2D" w:rsidRPr="00DE577D">
          <w:rPr>
            <w:rStyle w:val="Hyperlink"/>
          </w:rPr>
          <w:t>Communications and Pre-tender queries</w:t>
        </w:r>
        <w:r w:rsidR="00FC7A2D">
          <w:rPr>
            <w:webHidden/>
          </w:rPr>
          <w:tab/>
        </w:r>
        <w:r w:rsidR="00FC7A2D">
          <w:rPr>
            <w:webHidden/>
          </w:rPr>
          <w:fldChar w:fldCharType="begin"/>
        </w:r>
        <w:r w:rsidR="00FC7A2D">
          <w:rPr>
            <w:webHidden/>
          </w:rPr>
          <w:instrText xml:space="preserve"> PAGEREF _Toc25161485 \h </w:instrText>
        </w:r>
        <w:r w:rsidR="00FC7A2D">
          <w:rPr>
            <w:webHidden/>
          </w:rPr>
        </w:r>
        <w:r w:rsidR="00FC7A2D">
          <w:rPr>
            <w:webHidden/>
          </w:rPr>
          <w:fldChar w:fldCharType="separate"/>
        </w:r>
        <w:r w:rsidR="00FC7A2D">
          <w:rPr>
            <w:webHidden/>
          </w:rPr>
          <w:t>5</w:t>
        </w:r>
        <w:r w:rsidR="00FC7A2D">
          <w:rPr>
            <w:webHidden/>
          </w:rPr>
          <w:fldChar w:fldCharType="end"/>
        </w:r>
      </w:hyperlink>
    </w:p>
    <w:p w14:paraId="6F945D75" w14:textId="660D370A" w:rsidR="00FC7A2D" w:rsidRDefault="00682784">
      <w:pPr>
        <w:pStyle w:val="TOC1"/>
        <w:rPr>
          <w:rFonts w:asciiTheme="minorHAnsi" w:eastAsiaTheme="minorEastAsia" w:hAnsiTheme="minorHAnsi" w:cstheme="minorBidi"/>
          <w:sz w:val="22"/>
          <w:szCs w:val="22"/>
        </w:rPr>
      </w:pPr>
      <w:hyperlink w:anchor="_Toc25161486" w:history="1">
        <w:r w:rsidR="00FC7A2D" w:rsidRPr="00DE577D">
          <w:rPr>
            <w:rStyle w:val="Hyperlink"/>
          </w:rPr>
          <w:t>5.</w:t>
        </w:r>
        <w:r w:rsidR="00FC7A2D">
          <w:rPr>
            <w:rFonts w:asciiTheme="minorHAnsi" w:eastAsiaTheme="minorEastAsia" w:hAnsiTheme="minorHAnsi" w:cstheme="minorBidi"/>
            <w:sz w:val="22"/>
            <w:szCs w:val="22"/>
          </w:rPr>
          <w:tab/>
        </w:r>
        <w:r w:rsidR="00FC7A2D" w:rsidRPr="00DE577D">
          <w:rPr>
            <w:rStyle w:val="Hyperlink"/>
          </w:rPr>
          <w:t>Confidentiality and Intellectual Property Rights</w:t>
        </w:r>
        <w:r w:rsidR="00FC7A2D">
          <w:rPr>
            <w:webHidden/>
          </w:rPr>
          <w:tab/>
        </w:r>
        <w:r w:rsidR="00FC7A2D">
          <w:rPr>
            <w:webHidden/>
          </w:rPr>
          <w:fldChar w:fldCharType="begin"/>
        </w:r>
        <w:r w:rsidR="00FC7A2D">
          <w:rPr>
            <w:webHidden/>
          </w:rPr>
          <w:instrText xml:space="preserve"> PAGEREF _Toc25161486 \h </w:instrText>
        </w:r>
        <w:r w:rsidR="00FC7A2D">
          <w:rPr>
            <w:webHidden/>
          </w:rPr>
        </w:r>
        <w:r w:rsidR="00FC7A2D">
          <w:rPr>
            <w:webHidden/>
          </w:rPr>
          <w:fldChar w:fldCharType="separate"/>
        </w:r>
        <w:r w:rsidR="00FC7A2D">
          <w:rPr>
            <w:webHidden/>
          </w:rPr>
          <w:t>5</w:t>
        </w:r>
        <w:r w:rsidR="00FC7A2D">
          <w:rPr>
            <w:webHidden/>
          </w:rPr>
          <w:fldChar w:fldCharType="end"/>
        </w:r>
      </w:hyperlink>
    </w:p>
    <w:p w14:paraId="29D24AE4" w14:textId="27E6AFAF" w:rsidR="00FC7A2D" w:rsidRDefault="00682784">
      <w:pPr>
        <w:pStyle w:val="TOC1"/>
        <w:rPr>
          <w:rFonts w:asciiTheme="minorHAnsi" w:eastAsiaTheme="minorEastAsia" w:hAnsiTheme="minorHAnsi" w:cstheme="minorBidi"/>
          <w:sz w:val="22"/>
          <w:szCs w:val="22"/>
        </w:rPr>
      </w:pPr>
      <w:hyperlink w:anchor="_Toc25161487" w:history="1">
        <w:r w:rsidR="00FC7A2D" w:rsidRPr="00DE577D">
          <w:rPr>
            <w:rStyle w:val="Hyperlink"/>
          </w:rPr>
          <w:t>6.</w:t>
        </w:r>
        <w:r w:rsidR="00FC7A2D">
          <w:rPr>
            <w:rFonts w:asciiTheme="minorHAnsi" w:eastAsiaTheme="minorEastAsia" w:hAnsiTheme="minorHAnsi" w:cstheme="minorBidi"/>
            <w:sz w:val="22"/>
            <w:szCs w:val="22"/>
          </w:rPr>
          <w:tab/>
        </w:r>
        <w:r w:rsidR="00FC7A2D" w:rsidRPr="00DE577D">
          <w:rPr>
            <w:rStyle w:val="Hyperlink"/>
          </w:rPr>
          <w:t>Acknowledgement</w:t>
        </w:r>
        <w:r w:rsidR="00FC7A2D">
          <w:rPr>
            <w:webHidden/>
          </w:rPr>
          <w:tab/>
        </w:r>
        <w:r w:rsidR="00FC7A2D">
          <w:rPr>
            <w:webHidden/>
          </w:rPr>
          <w:fldChar w:fldCharType="begin"/>
        </w:r>
        <w:r w:rsidR="00FC7A2D">
          <w:rPr>
            <w:webHidden/>
          </w:rPr>
          <w:instrText xml:space="preserve"> PAGEREF _Toc25161487 \h </w:instrText>
        </w:r>
        <w:r w:rsidR="00FC7A2D">
          <w:rPr>
            <w:webHidden/>
          </w:rPr>
        </w:r>
        <w:r w:rsidR="00FC7A2D">
          <w:rPr>
            <w:webHidden/>
          </w:rPr>
          <w:fldChar w:fldCharType="separate"/>
        </w:r>
        <w:r w:rsidR="00FC7A2D">
          <w:rPr>
            <w:webHidden/>
          </w:rPr>
          <w:t>6</w:t>
        </w:r>
        <w:r w:rsidR="00FC7A2D">
          <w:rPr>
            <w:webHidden/>
          </w:rPr>
          <w:fldChar w:fldCharType="end"/>
        </w:r>
      </w:hyperlink>
    </w:p>
    <w:p w14:paraId="038FCA33" w14:textId="4DCC0162" w:rsidR="00FC7A2D" w:rsidRDefault="00682784">
      <w:pPr>
        <w:pStyle w:val="TOC1"/>
        <w:rPr>
          <w:rFonts w:asciiTheme="minorHAnsi" w:eastAsiaTheme="minorEastAsia" w:hAnsiTheme="minorHAnsi" w:cstheme="minorBidi"/>
          <w:sz w:val="22"/>
          <w:szCs w:val="22"/>
        </w:rPr>
      </w:pPr>
      <w:hyperlink w:anchor="_Toc25161488" w:history="1">
        <w:r w:rsidR="00FC7A2D" w:rsidRPr="00DE577D">
          <w:rPr>
            <w:rStyle w:val="Hyperlink"/>
          </w:rPr>
          <w:t>7.</w:t>
        </w:r>
        <w:r w:rsidR="00FC7A2D">
          <w:rPr>
            <w:rFonts w:asciiTheme="minorHAnsi" w:eastAsiaTheme="minorEastAsia" w:hAnsiTheme="minorHAnsi" w:cstheme="minorBidi"/>
            <w:sz w:val="22"/>
            <w:szCs w:val="22"/>
          </w:rPr>
          <w:tab/>
        </w:r>
        <w:r w:rsidR="00FC7A2D" w:rsidRPr="00DE577D">
          <w:rPr>
            <w:rStyle w:val="Hyperlink"/>
          </w:rPr>
          <w:t>Subcontractors/sub-suppliers</w:t>
        </w:r>
        <w:r w:rsidR="00FC7A2D">
          <w:rPr>
            <w:webHidden/>
          </w:rPr>
          <w:tab/>
        </w:r>
        <w:r w:rsidR="00FC7A2D">
          <w:rPr>
            <w:webHidden/>
          </w:rPr>
          <w:fldChar w:fldCharType="begin"/>
        </w:r>
        <w:r w:rsidR="00FC7A2D">
          <w:rPr>
            <w:webHidden/>
          </w:rPr>
          <w:instrText xml:space="preserve"> PAGEREF _Toc25161488 \h </w:instrText>
        </w:r>
        <w:r w:rsidR="00FC7A2D">
          <w:rPr>
            <w:webHidden/>
          </w:rPr>
        </w:r>
        <w:r w:rsidR="00FC7A2D">
          <w:rPr>
            <w:webHidden/>
          </w:rPr>
          <w:fldChar w:fldCharType="separate"/>
        </w:r>
        <w:r w:rsidR="00FC7A2D">
          <w:rPr>
            <w:webHidden/>
          </w:rPr>
          <w:t>6</w:t>
        </w:r>
        <w:r w:rsidR="00FC7A2D">
          <w:rPr>
            <w:webHidden/>
          </w:rPr>
          <w:fldChar w:fldCharType="end"/>
        </w:r>
      </w:hyperlink>
    </w:p>
    <w:p w14:paraId="3E4CB0F0" w14:textId="478545C7" w:rsidR="00FC7A2D" w:rsidRDefault="00682784">
      <w:pPr>
        <w:pStyle w:val="TOC1"/>
        <w:rPr>
          <w:rFonts w:asciiTheme="minorHAnsi" w:eastAsiaTheme="minorEastAsia" w:hAnsiTheme="minorHAnsi" w:cstheme="minorBidi"/>
          <w:sz w:val="22"/>
          <w:szCs w:val="22"/>
        </w:rPr>
      </w:pPr>
      <w:hyperlink w:anchor="_Toc25161489" w:history="1">
        <w:r w:rsidR="00FC7A2D" w:rsidRPr="00DE577D">
          <w:rPr>
            <w:rStyle w:val="Hyperlink"/>
          </w:rPr>
          <w:t>8.</w:t>
        </w:r>
        <w:r w:rsidR="00FC7A2D">
          <w:rPr>
            <w:rFonts w:asciiTheme="minorHAnsi" w:eastAsiaTheme="minorEastAsia" w:hAnsiTheme="minorHAnsi" w:cstheme="minorBidi"/>
            <w:sz w:val="22"/>
            <w:szCs w:val="22"/>
          </w:rPr>
          <w:tab/>
        </w:r>
        <w:r w:rsidR="00FC7A2D" w:rsidRPr="00DE577D">
          <w:rPr>
            <w:rStyle w:val="Hyperlink"/>
          </w:rPr>
          <w:t>Tender Submissions</w:t>
        </w:r>
        <w:r w:rsidR="00FC7A2D">
          <w:rPr>
            <w:webHidden/>
          </w:rPr>
          <w:tab/>
        </w:r>
        <w:r w:rsidR="00FC7A2D">
          <w:rPr>
            <w:webHidden/>
          </w:rPr>
          <w:fldChar w:fldCharType="begin"/>
        </w:r>
        <w:r w:rsidR="00FC7A2D">
          <w:rPr>
            <w:webHidden/>
          </w:rPr>
          <w:instrText xml:space="preserve"> PAGEREF _Toc25161489 \h </w:instrText>
        </w:r>
        <w:r w:rsidR="00FC7A2D">
          <w:rPr>
            <w:webHidden/>
          </w:rPr>
        </w:r>
        <w:r w:rsidR="00FC7A2D">
          <w:rPr>
            <w:webHidden/>
          </w:rPr>
          <w:fldChar w:fldCharType="separate"/>
        </w:r>
        <w:r w:rsidR="00FC7A2D">
          <w:rPr>
            <w:webHidden/>
          </w:rPr>
          <w:t>6</w:t>
        </w:r>
        <w:r w:rsidR="00FC7A2D">
          <w:rPr>
            <w:webHidden/>
          </w:rPr>
          <w:fldChar w:fldCharType="end"/>
        </w:r>
      </w:hyperlink>
    </w:p>
    <w:p w14:paraId="1F2CB9B0" w14:textId="3DFD6274" w:rsidR="00FC7A2D" w:rsidRDefault="00682784">
      <w:pPr>
        <w:pStyle w:val="TOC2"/>
        <w:tabs>
          <w:tab w:val="left" w:pos="880"/>
          <w:tab w:val="right" w:leader="dot" w:pos="8296"/>
        </w:tabs>
        <w:rPr>
          <w:rFonts w:eastAsiaTheme="minorEastAsia" w:cstheme="minorBidi"/>
          <w:noProof/>
          <w:sz w:val="22"/>
          <w:szCs w:val="22"/>
        </w:rPr>
      </w:pPr>
      <w:hyperlink w:anchor="_Toc25161492" w:history="1">
        <w:r w:rsidR="00FC7A2D" w:rsidRPr="00DE577D">
          <w:rPr>
            <w:rStyle w:val="Hyperlink"/>
            <w:noProof/>
          </w:rPr>
          <w:t>10.1</w:t>
        </w:r>
        <w:r w:rsidR="00FC7A2D">
          <w:rPr>
            <w:rFonts w:eastAsiaTheme="minorEastAsia" w:cstheme="minorBidi"/>
            <w:noProof/>
            <w:sz w:val="22"/>
            <w:szCs w:val="22"/>
          </w:rPr>
          <w:tab/>
        </w:r>
        <w:r w:rsidR="00FC7A2D" w:rsidRPr="00DE577D">
          <w:rPr>
            <w:rStyle w:val="Hyperlink"/>
            <w:noProof/>
          </w:rPr>
          <w:t>Language &amp; Currency</w:t>
        </w:r>
        <w:r w:rsidR="00FC7A2D">
          <w:rPr>
            <w:noProof/>
            <w:webHidden/>
          </w:rPr>
          <w:tab/>
        </w:r>
        <w:r w:rsidR="00FC7A2D">
          <w:rPr>
            <w:noProof/>
            <w:webHidden/>
          </w:rPr>
          <w:fldChar w:fldCharType="begin"/>
        </w:r>
        <w:r w:rsidR="00FC7A2D">
          <w:rPr>
            <w:noProof/>
            <w:webHidden/>
          </w:rPr>
          <w:instrText xml:space="preserve"> PAGEREF _Toc25161492 \h </w:instrText>
        </w:r>
        <w:r w:rsidR="00FC7A2D">
          <w:rPr>
            <w:noProof/>
            <w:webHidden/>
          </w:rPr>
        </w:r>
        <w:r w:rsidR="00FC7A2D">
          <w:rPr>
            <w:noProof/>
            <w:webHidden/>
          </w:rPr>
          <w:fldChar w:fldCharType="separate"/>
        </w:r>
        <w:r w:rsidR="00FC7A2D">
          <w:rPr>
            <w:noProof/>
            <w:webHidden/>
          </w:rPr>
          <w:t>6</w:t>
        </w:r>
        <w:r w:rsidR="00FC7A2D">
          <w:rPr>
            <w:noProof/>
            <w:webHidden/>
          </w:rPr>
          <w:fldChar w:fldCharType="end"/>
        </w:r>
      </w:hyperlink>
    </w:p>
    <w:p w14:paraId="11DC47E4" w14:textId="1CF4531E" w:rsidR="00FC7A2D" w:rsidRDefault="00682784">
      <w:pPr>
        <w:pStyle w:val="TOC2"/>
        <w:tabs>
          <w:tab w:val="left" w:pos="880"/>
          <w:tab w:val="right" w:leader="dot" w:pos="8296"/>
        </w:tabs>
        <w:rPr>
          <w:rFonts w:eastAsiaTheme="minorEastAsia" w:cstheme="minorBidi"/>
          <w:noProof/>
          <w:sz w:val="22"/>
          <w:szCs w:val="22"/>
        </w:rPr>
      </w:pPr>
      <w:hyperlink w:anchor="_Toc25161493" w:history="1">
        <w:r w:rsidR="00FC7A2D" w:rsidRPr="00DE577D">
          <w:rPr>
            <w:rStyle w:val="Hyperlink"/>
            <w:noProof/>
          </w:rPr>
          <w:t>10.2</w:t>
        </w:r>
        <w:r w:rsidR="00FC7A2D">
          <w:rPr>
            <w:rFonts w:eastAsiaTheme="minorEastAsia" w:cstheme="minorBidi"/>
            <w:noProof/>
            <w:sz w:val="22"/>
            <w:szCs w:val="22"/>
          </w:rPr>
          <w:tab/>
        </w:r>
        <w:r w:rsidR="00FC7A2D" w:rsidRPr="00DE577D">
          <w:rPr>
            <w:rStyle w:val="Hyperlink"/>
            <w:noProof/>
          </w:rPr>
          <w:t>Potential Providers Tender Commitment</w:t>
        </w:r>
        <w:r w:rsidR="00FC7A2D">
          <w:rPr>
            <w:noProof/>
            <w:webHidden/>
          </w:rPr>
          <w:tab/>
        </w:r>
        <w:r w:rsidR="00FC7A2D">
          <w:rPr>
            <w:noProof/>
            <w:webHidden/>
          </w:rPr>
          <w:fldChar w:fldCharType="begin"/>
        </w:r>
        <w:r w:rsidR="00FC7A2D">
          <w:rPr>
            <w:noProof/>
            <w:webHidden/>
          </w:rPr>
          <w:instrText xml:space="preserve"> PAGEREF _Toc25161493 \h </w:instrText>
        </w:r>
        <w:r w:rsidR="00FC7A2D">
          <w:rPr>
            <w:noProof/>
            <w:webHidden/>
          </w:rPr>
        </w:r>
        <w:r w:rsidR="00FC7A2D">
          <w:rPr>
            <w:noProof/>
            <w:webHidden/>
          </w:rPr>
          <w:fldChar w:fldCharType="separate"/>
        </w:r>
        <w:r w:rsidR="00FC7A2D">
          <w:rPr>
            <w:noProof/>
            <w:webHidden/>
          </w:rPr>
          <w:t>6</w:t>
        </w:r>
        <w:r w:rsidR="00FC7A2D">
          <w:rPr>
            <w:noProof/>
            <w:webHidden/>
          </w:rPr>
          <w:fldChar w:fldCharType="end"/>
        </w:r>
      </w:hyperlink>
    </w:p>
    <w:p w14:paraId="4ABEBD16" w14:textId="558A6433" w:rsidR="00FC7A2D" w:rsidRDefault="00682784">
      <w:pPr>
        <w:pStyle w:val="TOC2"/>
        <w:tabs>
          <w:tab w:val="left" w:pos="880"/>
          <w:tab w:val="right" w:leader="dot" w:pos="8296"/>
        </w:tabs>
        <w:rPr>
          <w:rFonts w:eastAsiaTheme="minorEastAsia" w:cstheme="minorBidi"/>
          <w:noProof/>
          <w:sz w:val="22"/>
          <w:szCs w:val="22"/>
        </w:rPr>
      </w:pPr>
      <w:hyperlink w:anchor="_Toc25161494" w:history="1">
        <w:r w:rsidR="00FC7A2D" w:rsidRPr="00DE577D">
          <w:rPr>
            <w:rStyle w:val="Hyperlink"/>
            <w:noProof/>
          </w:rPr>
          <w:t>10.3</w:t>
        </w:r>
        <w:r w:rsidR="00FC7A2D">
          <w:rPr>
            <w:rFonts w:eastAsiaTheme="minorEastAsia" w:cstheme="minorBidi"/>
            <w:noProof/>
            <w:sz w:val="22"/>
            <w:szCs w:val="22"/>
          </w:rPr>
          <w:tab/>
        </w:r>
        <w:r w:rsidR="00FC7A2D" w:rsidRPr="00DE577D">
          <w:rPr>
            <w:rStyle w:val="Hyperlink"/>
            <w:noProof/>
          </w:rPr>
          <w:t>Compliant Tenders</w:t>
        </w:r>
        <w:r w:rsidR="00FC7A2D">
          <w:rPr>
            <w:noProof/>
            <w:webHidden/>
          </w:rPr>
          <w:tab/>
        </w:r>
        <w:r w:rsidR="00FC7A2D">
          <w:rPr>
            <w:noProof/>
            <w:webHidden/>
          </w:rPr>
          <w:fldChar w:fldCharType="begin"/>
        </w:r>
        <w:r w:rsidR="00FC7A2D">
          <w:rPr>
            <w:noProof/>
            <w:webHidden/>
          </w:rPr>
          <w:instrText xml:space="preserve"> PAGEREF _Toc25161494 \h </w:instrText>
        </w:r>
        <w:r w:rsidR="00FC7A2D">
          <w:rPr>
            <w:noProof/>
            <w:webHidden/>
          </w:rPr>
        </w:r>
        <w:r w:rsidR="00FC7A2D">
          <w:rPr>
            <w:noProof/>
            <w:webHidden/>
          </w:rPr>
          <w:fldChar w:fldCharType="separate"/>
        </w:r>
        <w:r w:rsidR="00FC7A2D">
          <w:rPr>
            <w:noProof/>
            <w:webHidden/>
          </w:rPr>
          <w:t>6</w:t>
        </w:r>
        <w:r w:rsidR="00FC7A2D">
          <w:rPr>
            <w:noProof/>
            <w:webHidden/>
          </w:rPr>
          <w:fldChar w:fldCharType="end"/>
        </w:r>
      </w:hyperlink>
    </w:p>
    <w:p w14:paraId="1268C4DE" w14:textId="3EC297EA" w:rsidR="00FC7A2D" w:rsidRDefault="00682784">
      <w:pPr>
        <w:pStyle w:val="TOC2"/>
        <w:tabs>
          <w:tab w:val="left" w:pos="880"/>
          <w:tab w:val="right" w:leader="dot" w:pos="8296"/>
        </w:tabs>
        <w:rPr>
          <w:rFonts w:eastAsiaTheme="minorEastAsia" w:cstheme="minorBidi"/>
          <w:noProof/>
          <w:sz w:val="22"/>
          <w:szCs w:val="22"/>
        </w:rPr>
      </w:pPr>
      <w:hyperlink w:anchor="_Toc25161495" w:history="1">
        <w:r w:rsidR="00FC7A2D" w:rsidRPr="00DE577D">
          <w:rPr>
            <w:rStyle w:val="Hyperlink"/>
            <w:noProof/>
          </w:rPr>
          <w:t>10.4</w:t>
        </w:r>
        <w:r w:rsidR="00FC7A2D">
          <w:rPr>
            <w:rFonts w:eastAsiaTheme="minorEastAsia" w:cstheme="minorBidi"/>
            <w:noProof/>
            <w:sz w:val="22"/>
            <w:szCs w:val="22"/>
          </w:rPr>
          <w:tab/>
        </w:r>
        <w:r w:rsidR="00FC7A2D" w:rsidRPr="00DE577D">
          <w:rPr>
            <w:rStyle w:val="Hyperlink"/>
            <w:noProof/>
          </w:rPr>
          <w:t>Tender Closing</w:t>
        </w:r>
        <w:r w:rsidR="00FC7A2D">
          <w:rPr>
            <w:noProof/>
            <w:webHidden/>
          </w:rPr>
          <w:tab/>
        </w:r>
        <w:r w:rsidR="00FC7A2D">
          <w:rPr>
            <w:noProof/>
            <w:webHidden/>
          </w:rPr>
          <w:fldChar w:fldCharType="begin"/>
        </w:r>
        <w:r w:rsidR="00FC7A2D">
          <w:rPr>
            <w:noProof/>
            <w:webHidden/>
          </w:rPr>
          <w:instrText xml:space="preserve"> PAGEREF _Toc25161495 \h </w:instrText>
        </w:r>
        <w:r w:rsidR="00FC7A2D">
          <w:rPr>
            <w:noProof/>
            <w:webHidden/>
          </w:rPr>
        </w:r>
        <w:r w:rsidR="00FC7A2D">
          <w:rPr>
            <w:noProof/>
            <w:webHidden/>
          </w:rPr>
          <w:fldChar w:fldCharType="separate"/>
        </w:r>
        <w:r w:rsidR="00FC7A2D">
          <w:rPr>
            <w:noProof/>
            <w:webHidden/>
          </w:rPr>
          <w:t>6</w:t>
        </w:r>
        <w:r w:rsidR="00FC7A2D">
          <w:rPr>
            <w:noProof/>
            <w:webHidden/>
          </w:rPr>
          <w:fldChar w:fldCharType="end"/>
        </w:r>
      </w:hyperlink>
    </w:p>
    <w:p w14:paraId="58554440" w14:textId="45C602F5" w:rsidR="00FC7A2D" w:rsidRDefault="00682784">
      <w:pPr>
        <w:pStyle w:val="TOC2"/>
        <w:tabs>
          <w:tab w:val="left" w:pos="880"/>
          <w:tab w:val="right" w:leader="dot" w:pos="8296"/>
        </w:tabs>
        <w:rPr>
          <w:rFonts w:eastAsiaTheme="minorEastAsia" w:cstheme="minorBidi"/>
          <w:noProof/>
          <w:sz w:val="22"/>
          <w:szCs w:val="22"/>
        </w:rPr>
      </w:pPr>
      <w:hyperlink w:anchor="_Toc25161496" w:history="1">
        <w:r w:rsidR="00FC7A2D" w:rsidRPr="00DE577D">
          <w:rPr>
            <w:rStyle w:val="Hyperlink"/>
            <w:noProof/>
          </w:rPr>
          <w:t>10.5</w:t>
        </w:r>
        <w:r w:rsidR="00FC7A2D">
          <w:rPr>
            <w:rFonts w:eastAsiaTheme="minorEastAsia" w:cstheme="minorBidi"/>
            <w:noProof/>
            <w:sz w:val="22"/>
            <w:szCs w:val="22"/>
          </w:rPr>
          <w:tab/>
        </w:r>
        <w:r w:rsidR="00FC7A2D" w:rsidRPr="00DE577D">
          <w:rPr>
            <w:rStyle w:val="Hyperlink"/>
            <w:noProof/>
          </w:rPr>
          <w:t>Alternative Tenders</w:t>
        </w:r>
        <w:r w:rsidR="00FC7A2D">
          <w:rPr>
            <w:noProof/>
            <w:webHidden/>
          </w:rPr>
          <w:tab/>
        </w:r>
        <w:r w:rsidR="00FC7A2D">
          <w:rPr>
            <w:noProof/>
            <w:webHidden/>
          </w:rPr>
          <w:fldChar w:fldCharType="begin"/>
        </w:r>
        <w:r w:rsidR="00FC7A2D">
          <w:rPr>
            <w:noProof/>
            <w:webHidden/>
          </w:rPr>
          <w:instrText xml:space="preserve"> PAGEREF _Toc25161496 \h </w:instrText>
        </w:r>
        <w:r w:rsidR="00FC7A2D">
          <w:rPr>
            <w:noProof/>
            <w:webHidden/>
          </w:rPr>
        </w:r>
        <w:r w:rsidR="00FC7A2D">
          <w:rPr>
            <w:noProof/>
            <w:webHidden/>
          </w:rPr>
          <w:fldChar w:fldCharType="separate"/>
        </w:r>
        <w:r w:rsidR="00FC7A2D">
          <w:rPr>
            <w:noProof/>
            <w:webHidden/>
          </w:rPr>
          <w:t>7</w:t>
        </w:r>
        <w:r w:rsidR="00FC7A2D">
          <w:rPr>
            <w:noProof/>
            <w:webHidden/>
          </w:rPr>
          <w:fldChar w:fldCharType="end"/>
        </w:r>
      </w:hyperlink>
    </w:p>
    <w:p w14:paraId="5A282FA7" w14:textId="0C50E818" w:rsidR="00FC7A2D" w:rsidRDefault="00682784">
      <w:pPr>
        <w:pStyle w:val="TOC2"/>
        <w:tabs>
          <w:tab w:val="left" w:pos="880"/>
          <w:tab w:val="right" w:leader="dot" w:pos="8296"/>
        </w:tabs>
        <w:rPr>
          <w:rFonts w:eastAsiaTheme="minorEastAsia" w:cstheme="minorBidi"/>
          <w:noProof/>
          <w:sz w:val="22"/>
          <w:szCs w:val="22"/>
        </w:rPr>
      </w:pPr>
      <w:hyperlink w:anchor="_Toc25161497" w:history="1">
        <w:r w:rsidR="00FC7A2D" w:rsidRPr="00DE577D">
          <w:rPr>
            <w:rStyle w:val="Hyperlink"/>
            <w:noProof/>
          </w:rPr>
          <w:t>10.6</w:t>
        </w:r>
        <w:r w:rsidR="00FC7A2D">
          <w:rPr>
            <w:rFonts w:eastAsiaTheme="minorEastAsia" w:cstheme="minorBidi"/>
            <w:noProof/>
            <w:sz w:val="22"/>
            <w:szCs w:val="22"/>
          </w:rPr>
          <w:tab/>
        </w:r>
        <w:r w:rsidR="00FC7A2D" w:rsidRPr="00DE577D">
          <w:rPr>
            <w:rStyle w:val="Hyperlink"/>
            <w:noProof/>
          </w:rPr>
          <w:t>Cancellation or Amendment to the Invitation to Tender</w:t>
        </w:r>
        <w:r w:rsidR="00FC7A2D">
          <w:rPr>
            <w:noProof/>
            <w:webHidden/>
          </w:rPr>
          <w:tab/>
        </w:r>
        <w:r w:rsidR="00FC7A2D">
          <w:rPr>
            <w:noProof/>
            <w:webHidden/>
          </w:rPr>
          <w:fldChar w:fldCharType="begin"/>
        </w:r>
        <w:r w:rsidR="00FC7A2D">
          <w:rPr>
            <w:noProof/>
            <w:webHidden/>
          </w:rPr>
          <w:instrText xml:space="preserve"> PAGEREF _Toc25161497 \h </w:instrText>
        </w:r>
        <w:r w:rsidR="00FC7A2D">
          <w:rPr>
            <w:noProof/>
            <w:webHidden/>
          </w:rPr>
        </w:r>
        <w:r w:rsidR="00FC7A2D">
          <w:rPr>
            <w:noProof/>
            <w:webHidden/>
          </w:rPr>
          <w:fldChar w:fldCharType="separate"/>
        </w:r>
        <w:r w:rsidR="00FC7A2D">
          <w:rPr>
            <w:noProof/>
            <w:webHidden/>
          </w:rPr>
          <w:t>7</w:t>
        </w:r>
        <w:r w:rsidR="00FC7A2D">
          <w:rPr>
            <w:noProof/>
            <w:webHidden/>
          </w:rPr>
          <w:fldChar w:fldCharType="end"/>
        </w:r>
      </w:hyperlink>
    </w:p>
    <w:p w14:paraId="52B902CB" w14:textId="2B67193F" w:rsidR="00FC7A2D" w:rsidRDefault="00682784">
      <w:pPr>
        <w:pStyle w:val="TOC1"/>
        <w:rPr>
          <w:rFonts w:asciiTheme="minorHAnsi" w:eastAsiaTheme="minorEastAsia" w:hAnsiTheme="minorHAnsi" w:cstheme="minorBidi"/>
          <w:sz w:val="22"/>
          <w:szCs w:val="22"/>
        </w:rPr>
      </w:pPr>
      <w:hyperlink w:anchor="_Toc25161498" w:history="1">
        <w:r w:rsidR="00FC7A2D" w:rsidRPr="00DE577D">
          <w:rPr>
            <w:rStyle w:val="Hyperlink"/>
          </w:rPr>
          <w:t>9.</w:t>
        </w:r>
        <w:r w:rsidR="00FC7A2D">
          <w:rPr>
            <w:rFonts w:asciiTheme="minorHAnsi" w:eastAsiaTheme="minorEastAsia" w:hAnsiTheme="minorHAnsi" w:cstheme="minorBidi"/>
            <w:sz w:val="22"/>
            <w:szCs w:val="22"/>
          </w:rPr>
          <w:tab/>
        </w:r>
        <w:r w:rsidR="00FC7A2D" w:rsidRPr="00DE577D">
          <w:rPr>
            <w:rStyle w:val="Hyperlink"/>
          </w:rPr>
          <w:t>Procurement Timetable</w:t>
        </w:r>
        <w:r w:rsidR="00FC7A2D">
          <w:rPr>
            <w:webHidden/>
          </w:rPr>
          <w:tab/>
        </w:r>
        <w:r w:rsidR="00FC7A2D">
          <w:rPr>
            <w:webHidden/>
          </w:rPr>
          <w:fldChar w:fldCharType="begin"/>
        </w:r>
        <w:r w:rsidR="00FC7A2D">
          <w:rPr>
            <w:webHidden/>
          </w:rPr>
          <w:instrText xml:space="preserve"> PAGEREF _Toc25161498 \h </w:instrText>
        </w:r>
        <w:r w:rsidR="00FC7A2D">
          <w:rPr>
            <w:webHidden/>
          </w:rPr>
        </w:r>
        <w:r w:rsidR="00FC7A2D">
          <w:rPr>
            <w:webHidden/>
          </w:rPr>
          <w:fldChar w:fldCharType="separate"/>
        </w:r>
        <w:r w:rsidR="00FC7A2D">
          <w:rPr>
            <w:webHidden/>
          </w:rPr>
          <w:t>7</w:t>
        </w:r>
        <w:r w:rsidR="00FC7A2D">
          <w:rPr>
            <w:webHidden/>
          </w:rPr>
          <w:fldChar w:fldCharType="end"/>
        </w:r>
      </w:hyperlink>
    </w:p>
    <w:p w14:paraId="20DC3A9E" w14:textId="6375B9D6" w:rsidR="00311D7F" w:rsidRPr="00D41E50" w:rsidRDefault="00302D8F" w:rsidP="00311E73">
      <w:pPr>
        <w:jc w:val="both"/>
      </w:pPr>
      <w:r w:rsidRPr="00D41E50">
        <w:rPr>
          <w:sz w:val="19"/>
          <w:szCs w:val="19"/>
        </w:rPr>
        <w:fldChar w:fldCharType="end"/>
      </w:r>
    </w:p>
    <w:p w14:paraId="3BC183BC" w14:textId="77777777" w:rsidR="00311D7F" w:rsidRPr="00D41E50" w:rsidRDefault="00311D7F" w:rsidP="00311E73">
      <w:pPr>
        <w:jc w:val="both"/>
      </w:pPr>
    </w:p>
    <w:p w14:paraId="09E78FF4" w14:textId="77777777" w:rsidR="00311D7F" w:rsidRPr="00D41E50" w:rsidRDefault="00311D7F" w:rsidP="00311E73">
      <w:pPr>
        <w:jc w:val="both"/>
      </w:pPr>
    </w:p>
    <w:p w14:paraId="138A3027" w14:textId="77777777" w:rsidR="00311D7F" w:rsidRPr="00D41E50" w:rsidRDefault="00311D7F" w:rsidP="00311E73">
      <w:pPr>
        <w:jc w:val="both"/>
        <w:rPr>
          <w:u w:val="single"/>
        </w:rPr>
      </w:pPr>
      <w:r w:rsidRPr="00D41E50">
        <w:br w:type="page"/>
      </w:r>
    </w:p>
    <w:p w14:paraId="3765F799" w14:textId="284E8077" w:rsidR="00311D7F" w:rsidRPr="00D41E50" w:rsidRDefault="00311D7F" w:rsidP="00311E73">
      <w:pPr>
        <w:jc w:val="both"/>
        <w:rPr>
          <w:b/>
          <w:szCs w:val="20"/>
        </w:rPr>
      </w:pPr>
      <w:r w:rsidRPr="00D41E50">
        <w:rPr>
          <w:b/>
          <w:szCs w:val="20"/>
        </w:rPr>
        <w:lastRenderedPageBreak/>
        <w:t>INSTRUCTIONS TO TENDERERS</w:t>
      </w:r>
    </w:p>
    <w:p w14:paraId="5DD88198" w14:textId="77777777" w:rsidR="00311D7F" w:rsidRPr="00D41E50" w:rsidRDefault="00311D7F" w:rsidP="00311E73">
      <w:pPr>
        <w:jc w:val="both"/>
        <w:rPr>
          <w:szCs w:val="20"/>
        </w:rPr>
      </w:pPr>
    </w:p>
    <w:p w14:paraId="316EC075" w14:textId="735F2591" w:rsidR="001A0E9C" w:rsidRDefault="00E32777" w:rsidP="00311E73">
      <w:pPr>
        <w:pStyle w:val="Heading1"/>
        <w:jc w:val="both"/>
      </w:pPr>
      <w:bookmarkStart w:id="0" w:name="_Toc5953004"/>
      <w:bookmarkStart w:id="1" w:name="_Toc5973490"/>
      <w:bookmarkStart w:id="2" w:name="_Toc5953005"/>
      <w:bookmarkStart w:id="3" w:name="_Toc5973491"/>
      <w:bookmarkStart w:id="4" w:name="_Toc5953006"/>
      <w:bookmarkStart w:id="5" w:name="_Toc5973492"/>
      <w:bookmarkStart w:id="6" w:name="_Toc5953007"/>
      <w:bookmarkStart w:id="7" w:name="_Toc5973493"/>
      <w:bookmarkStart w:id="8" w:name="_Toc5953008"/>
      <w:bookmarkStart w:id="9" w:name="_Toc5973494"/>
      <w:bookmarkStart w:id="10" w:name="_Toc5953009"/>
      <w:bookmarkStart w:id="11" w:name="_Toc5973495"/>
      <w:bookmarkStart w:id="12" w:name="_Toc25161482"/>
      <w:bookmarkEnd w:id="0"/>
      <w:bookmarkEnd w:id="1"/>
      <w:bookmarkEnd w:id="2"/>
      <w:bookmarkEnd w:id="3"/>
      <w:bookmarkEnd w:id="4"/>
      <w:bookmarkEnd w:id="5"/>
      <w:bookmarkEnd w:id="6"/>
      <w:bookmarkEnd w:id="7"/>
      <w:bookmarkEnd w:id="8"/>
      <w:bookmarkEnd w:id="9"/>
      <w:bookmarkEnd w:id="10"/>
      <w:bookmarkEnd w:id="11"/>
      <w:r>
        <w:t>Definitions and i</w:t>
      </w:r>
      <w:r w:rsidR="001A0E9C">
        <w:t>nterpretation</w:t>
      </w:r>
      <w:bookmarkEnd w:id="12"/>
    </w:p>
    <w:p w14:paraId="7BE81596" w14:textId="6BDBDF20" w:rsidR="001C656D" w:rsidRDefault="001C656D" w:rsidP="00311E73">
      <w:pPr>
        <w:jc w:val="both"/>
        <w:rPr>
          <w:szCs w:val="20"/>
        </w:rPr>
      </w:pPr>
    </w:p>
    <w:p w14:paraId="119120F1" w14:textId="1A37D0A3" w:rsidR="001A0E9C" w:rsidRDefault="00311E73" w:rsidP="00311E73">
      <w:pPr>
        <w:jc w:val="both"/>
        <w:rPr>
          <w:szCs w:val="20"/>
        </w:rPr>
      </w:pPr>
      <w:r>
        <w:rPr>
          <w:szCs w:val="20"/>
        </w:rPr>
        <w:t>Any reference to</w:t>
      </w:r>
      <w:r w:rsidR="001A0E9C">
        <w:rPr>
          <w:szCs w:val="20"/>
        </w:rPr>
        <w:t xml:space="preserve"> </w:t>
      </w:r>
      <w:r w:rsidR="001E2D56">
        <w:rPr>
          <w:szCs w:val="20"/>
        </w:rPr>
        <w:t>a Request for Proposal (“RFP”), Request for Quotation (</w:t>
      </w:r>
      <w:r w:rsidR="00EA321D">
        <w:rPr>
          <w:szCs w:val="20"/>
        </w:rPr>
        <w:t>“RFQ”), Request for Information (“RFI”), Request</w:t>
      </w:r>
      <w:r w:rsidR="00E32777">
        <w:rPr>
          <w:szCs w:val="20"/>
        </w:rPr>
        <w:t xml:space="preserve"> for </w:t>
      </w:r>
      <w:r w:rsidR="004F08DC">
        <w:rPr>
          <w:szCs w:val="20"/>
        </w:rPr>
        <w:t xml:space="preserve"> Proposal, </w:t>
      </w:r>
      <w:r w:rsidR="00377622">
        <w:rPr>
          <w:szCs w:val="20"/>
        </w:rPr>
        <w:t>Quotation, Information as appropriate (“</w:t>
      </w:r>
      <w:proofErr w:type="spellStart"/>
      <w:r w:rsidR="00377622">
        <w:rPr>
          <w:szCs w:val="20"/>
        </w:rPr>
        <w:t>RFx</w:t>
      </w:r>
      <w:proofErr w:type="spellEnd"/>
      <w:r w:rsidR="00377622">
        <w:rPr>
          <w:szCs w:val="20"/>
        </w:rPr>
        <w:t xml:space="preserve">”), </w:t>
      </w:r>
      <w:r w:rsidR="00636A40">
        <w:rPr>
          <w:szCs w:val="20"/>
        </w:rPr>
        <w:t>“ITT”</w:t>
      </w:r>
      <w:r w:rsidR="00377622">
        <w:rPr>
          <w:szCs w:val="20"/>
        </w:rPr>
        <w:t xml:space="preserve"> </w:t>
      </w:r>
      <w:r>
        <w:rPr>
          <w:szCs w:val="20"/>
        </w:rPr>
        <w:t>or “</w:t>
      </w:r>
      <w:r w:rsidR="001A0E9C">
        <w:rPr>
          <w:szCs w:val="20"/>
        </w:rPr>
        <w:t>Invitation to Tender</w:t>
      </w:r>
      <w:r>
        <w:rPr>
          <w:szCs w:val="20"/>
        </w:rPr>
        <w:t>”</w:t>
      </w:r>
      <w:r w:rsidR="001A0E9C">
        <w:rPr>
          <w:szCs w:val="20"/>
        </w:rPr>
        <w:t xml:space="preserve"> </w:t>
      </w:r>
      <w:r>
        <w:rPr>
          <w:szCs w:val="20"/>
        </w:rPr>
        <w:t>is a reference to a request for a tender from the Potential Providers and i</w:t>
      </w:r>
      <w:r w:rsidR="001A0E9C">
        <w:rPr>
          <w:szCs w:val="20"/>
        </w:rPr>
        <w:t xml:space="preserve">ncludes these Instructions to </w:t>
      </w:r>
      <w:r w:rsidR="005352F2">
        <w:rPr>
          <w:szCs w:val="20"/>
        </w:rPr>
        <w:t>Potential Provider</w:t>
      </w:r>
      <w:r w:rsidR="001A0E9C">
        <w:rPr>
          <w:szCs w:val="20"/>
        </w:rPr>
        <w:t>s and all Attachments to this event found in the e-tendering tool</w:t>
      </w:r>
      <w:r w:rsidR="00636A40">
        <w:rPr>
          <w:szCs w:val="20"/>
        </w:rPr>
        <w:t>.</w:t>
      </w:r>
    </w:p>
    <w:p w14:paraId="07A9845D" w14:textId="77777777" w:rsidR="001A0E9C" w:rsidRDefault="001A0E9C" w:rsidP="00311E73">
      <w:pPr>
        <w:jc w:val="both"/>
        <w:rPr>
          <w:szCs w:val="20"/>
        </w:rPr>
      </w:pPr>
    </w:p>
    <w:p w14:paraId="0D4789DA" w14:textId="77777777" w:rsidR="001C656D" w:rsidRDefault="001A0E9C" w:rsidP="00311E73">
      <w:pPr>
        <w:jc w:val="both"/>
        <w:rPr>
          <w:szCs w:val="20"/>
        </w:rPr>
      </w:pPr>
      <w:r>
        <w:rPr>
          <w:szCs w:val="20"/>
        </w:rPr>
        <w:t>Any refere</w:t>
      </w:r>
      <w:r w:rsidR="001C656D">
        <w:rPr>
          <w:szCs w:val="20"/>
        </w:rPr>
        <w:t>nces to the “Purchaser”, “Employer” or</w:t>
      </w:r>
      <w:r>
        <w:rPr>
          <w:szCs w:val="20"/>
        </w:rPr>
        <w:t xml:space="preserve"> </w:t>
      </w:r>
      <w:r w:rsidR="001C656D">
        <w:rPr>
          <w:szCs w:val="20"/>
        </w:rPr>
        <w:t>“</w:t>
      </w:r>
      <w:r>
        <w:rPr>
          <w:szCs w:val="20"/>
        </w:rPr>
        <w:t>Authority</w:t>
      </w:r>
      <w:r w:rsidR="001C656D">
        <w:rPr>
          <w:szCs w:val="20"/>
        </w:rPr>
        <w:t xml:space="preserve">” is a reference to the </w:t>
      </w:r>
      <w:r w:rsidR="001C656D" w:rsidRPr="00FB3D07">
        <w:t>party or parties set out in the Draft Contract, as the “Employer” or “Purchaser” as the case may be.</w:t>
      </w:r>
    </w:p>
    <w:p w14:paraId="0C802E2A" w14:textId="77777777" w:rsidR="001C656D" w:rsidRDefault="001C656D" w:rsidP="00311E73">
      <w:pPr>
        <w:jc w:val="both"/>
        <w:rPr>
          <w:szCs w:val="20"/>
        </w:rPr>
      </w:pPr>
    </w:p>
    <w:p w14:paraId="2C77BD0D" w14:textId="77777777" w:rsidR="001A0E9C" w:rsidRDefault="001C656D" w:rsidP="00311E73">
      <w:pPr>
        <w:jc w:val="both"/>
        <w:rPr>
          <w:szCs w:val="20"/>
        </w:rPr>
      </w:pPr>
      <w:r>
        <w:rPr>
          <w:szCs w:val="20"/>
        </w:rPr>
        <w:t xml:space="preserve">Any reference to “we”, “us” or “our” is deemed to be a reference to the Authority. </w:t>
      </w:r>
      <w:r w:rsidR="001A0E9C">
        <w:rPr>
          <w:szCs w:val="20"/>
        </w:rPr>
        <w:t xml:space="preserve"> </w:t>
      </w:r>
    </w:p>
    <w:p w14:paraId="089C739E" w14:textId="77777777" w:rsidR="00F2420C" w:rsidRDefault="00F2420C" w:rsidP="00311E73">
      <w:pPr>
        <w:jc w:val="both"/>
        <w:rPr>
          <w:szCs w:val="20"/>
        </w:rPr>
      </w:pPr>
    </w:p>
    <w:p w14:paraId="750C2A58" w14:textId="69C2B0EB" w:rsidR="00F2420C" w:rsidRDefault="00F2420C" w:rsidP="00311E73">
      <w:pPr>
        <w:jc w:val="both"/>
        <w:rPr>
          <w:szCs w:val="20"/>
        </w:rPr>
      </w:pPr>
      <w:r>
        <w:rPr>
          <w:szCs w:val="20"/>
        </w:rPr>
        <w:t xml:space="preserve">Any reference to </w:t>
      </w:r>
      <w:r w:rsidR="003A1A6D">
        <w:rPr>
          <w:szCs w:val="20"/>
        </w:rPr>
        <w:t>“person” includes but is not limited to any person, company, body or association.</w:t>
      </w:r>
    </w:p>
    <w:p w14:paraId="6D0A094D" w14:textId="3513B853" w:rsidR="00377622" w:rsidRDefault="00377622" w:rsidP="00311E73">
      <w:pPr>
        <w:jc w:val="both"/>
        <w:rPr>
          <w:szCs w:val="20"/>
        </w:rPr>
      </w:pPr>
    </w:p>
    <w:p w14:paraId="50930A9D" w14:textId="56D13BD5" w:rsidR="00377622" w:rsidRDefault="00560E5D" w:rsidP="00311E73">
      <w:pPr>
        <w:jc w:val="both"/>
        <w:rPr>
          <w:szCs w:val="20"/>
        </w:rPr>
      </w:pPr>
      <w:r>
        <w:rPr>
          <w:szCs w:val="20"/>
        </w:rPr>
        <w:t>P</w:t>
      </w:r>
      <w:r w:rsidR="00377622">
        <w:rPr>
          <w:szCs w:val="20"/>
        </w:rPr>
        <w:t>otential provider</w:t>
      </w:r>
      <w:r>
        <w:rPr>
          <w:szCs w:val="20"/>
        </w:rPr>
        <w:t xml:space="preserve"> means </w:t>
      </w:r>
      <w:r w:rsidR="00377622">
        <w:rPr>
          <w:szCs w:val="20"/>
        </w:rPr>
        <w:t xml:space="preserve">a party selected to submit a response to the </w:t>
      </w:r>
      <w:proofErr w:type="spellStart"/>
      <w:r w:rsidR="00377622">
        <w:rPr>
          <w:szCs w:val="20"/>
        </w:rPr>
        <w:t>RFx</w:t>
      </w:r>
      <w:proofErr w:type="spellEnd"/>
      <w:r w:rsidR="00377622">
        <w:rPr>
          <w:szCs w:val="20"/>
        </w:rPr>
        <w:t xml:space="preserve">. </w:t>
      </w:r>
    </w:p>
    <w:p w14:paraId="7B86D2E0" w14:textId="7E54E41E" w:rsidR="00377622" w:rsidRDefault="00377622" w:rsidP="00311E73">
      <w:pPr>
        <w:jc w:val="both"/>
        <w:rPr>
          <w:szCs w:val="20"/>
        </w:rPr>
      </w:pPr>
    </w:p>
    <w:p w14:paraId="46A78E99" w14:textId="6ABB5785" w:rsidR="00EC2475" w:rsidRPr="002706D7" w:rsidRDefault="00EC2475" w:rsidP="00EC2475">
      <w:pPr>
        <w:jc w:val="both"/>
        <w:rPr>
          <w:szCs w:val="20"/>
        </w:rPr>
      </w:pPr>
      <w:r>
        <w:rPr>
          <w:szCs w:val="20"/>
        </w:rPr>
        <w:t>Draft contract means a</w:t>
      </w:r>
      <w:r w:rsidRPr="002706D7">
        <w:rPr>
          <w:szCs w:val="20"/>
        </w:rPr>
        <w:t xml:space="preserve"> draft of the contract which the Authority expects to enter into with Supplier(s), subject to amendment by the Authority.</w:t>
      </w:r>
    </w:p>
    <w:p w14:paraId="301966C1" w14:textId="5987C0FF" w:rsidR="005C5298" w:rsidRPr="002706D7" w:rsidRDefault="005C5298" w:rsidP="00EC2475">
      <w:pPr>
        <w:jc w:val="both"/>
        <w:rPr>
          <w:szCs w:val="20"/>
        </w:rPr>
      </w:pPr>
    </w:p>
    <w:p w14:paraId="4803CA08" w14:textId="1069D8A8" w:rsidR="005C5298" w:rsidRDefault="005C5298" w:rsidP="00EC2475">
      <w:pPr>
        <w:jc w:val="both"/>
        <w:rPr>
          <w:szCs w:val="20"/>
        </w:rPr>
      </w:pPr>
      <w:r w:rsidRPr="002706D7">
        <w:rPr>
          <w:szCs w:val="20"/>
        </w:rPr>
        <w:t>Contract means the contract for the goods, works or services required by the Authority between the Supplier and the Authority</w:t>
      </w:r>
      <w:r w:rsidR="00560E5D">
        <w:rPr>
          <w:szCs w:val="20"/>
        </w:rPr>
        <w:t xml:space="preserve">. </w:t>
      </w:r>
    </w:p>
    <w:p w14:paraId="47A9598E" w14:textId="46DD8316" w:rsidR="00560E5D" w:rsidRDefault="00560E5D" w:rsidP="00EC2475">
      <w:pPr>
        <w:jc w:val="both"/>
        <w:rPr>
          <w:szCs w:val="20"/>
        </w:rPr>
      </w:pPr>
    </w:p>
    <w:p w14:paraId="3AFACF6A" w14:textId="089BFD96" w:rsidR="00560E5D" w:rsidRPr="002706D7" w:rsidRDefault="00560E5D" w:rsidP="00EC2475">
      <w:pPr>
        <w:jc w:val="both"/>
        <w:rPr>
          <w:szCs w:val="20"/>
        </w:rPr>
      </w:pPr>
      <w:r>
        <w:rPr>
          <w:szCs w:val="20"/>
        </w:rPr>
        <w:t xml:space="preserve">Supplier means </w:t>
      </w:r>
      <w:r w:rsidRPr="002706D7">
        <w:rPr>
          <w:szCs w:val="20"/>
        </w:rPr>
        <w:t>a Potential Provider whose Tender is successfully evaluated and has a contract executed with the Authority</w:t>
      </w:r>
      <w:r w:rsidR="00ED577D">
        <w:rPr>
          <w:szCs w:val="20"/>
        </w:rPr>
        <w:t xml:space="preserve">. </w:t>
      </w:r>
    </w:p>
    <w:p w14:paraId="19C03FC6" w14:textId="3A4E2C16" w:rsidR="00377622" w:rsidRDefault="00377622" w:rsidP="00311E73">
      <w:pPr>
        <w:jc w:val="both"/>
        <w:rPr>
          <w:szCs w:val="20"/>
        </w:rPr>
      </w:pPr>
    </w:p>
    <w:p w14:paraId="687F8112" w14:textId="77777777" w:rsidR="00560E5D" w:rsidRPr="00FB3D07" w:rsidRDefault="00560E5D" w:rsidP="00560E5D">
      <w:pPr>
        <w:pStyle w:val="Heading1"/>
        <w:jc w:val="both"/>
      </w:pPr>
      <w:bookmarkStart w:id="13" w:name="_Toc25161483"/>
      <w:r w:rsidRPr="00FB3D07">
        <w:t>Introduction</w:t>
      </w:r>
      <w:bookmarkEnd w:id="13"/>
    </w:p>
    <w:p w14:paraId="574601DF" w14:textId="3DFE7CA7" w:rsidR="002B61DB" w:rsidRPr="00C32380" w:rsidRDefault="002B61DB" w:rsidP="002B61DB">
      <w:pPr>
        <w:jc w:val="both"/>
      </w:pPr>
      <w:r w:rsidRPr="007F70EA">
        <w:t xml:space="preserve">The Authority intends to award a </w:t>
      </w:r>
      <w:r w:rsidRPr="00C32380">
        <w:t xml:space="preserve">contract for </w:t>
      </w:r>
      <w:r w:rsidR="00C32380" w:rsidRPr="00C32380">
        <w:t>the provision of trail systems in relation to</w:t>
      </w:r>
      <w:r w:rsidR="00682784">
        <w:t xml:space="preserve"> supply and installation of</w:t>
      </w:r>
      <w:r w:rsidR="00C32380" w:rsidRPr="00C32380">
        <w:t xml:space="preserve"> </w:t>
      </w:r>
      <w:r w:rsidR="00682784">
        <w:t>EV charging infrastructure.</w:t>
      </w:r>
      <w:r w:rsidRPr="00C32380">
        <w:t xml:space="preserve"> </w:t>
      </w:r>
    </w:p>
    <w:p w14:paraId="508AEE8B" w14:textId="77777777" w:rsidR="002B61DB" w:rsidRPr="00C32380" w:rsidRDefault="002B61DB" w:rsidP="002B61DB">
      <w:pPr>
        <w:jc w:val="both"/>
        <w:rPr>
          <w:szCs w:val="20"/>
        </w:rPr>
      </w:pPr>
    </w:p>
    <w:p w14:paraId="2A9235C5" w14:textId="26DCFFC7" w:rsidR="002B61DB" w:rsidRPr="00C32380" w:rsidRDefault="002B61DB" w:rsidP="002B61DB">
      <w:pPr>
        <w:jc w:val="both"/>
        <w:rPr>
          <w:szCs w:val="20"/>
        </w:rPr>
      </w:pPr>
      <w:r w:rsidRPr="00C32380">
        <w:rPr>
          <w:szCs w:val="20"/>
        </w:rPr>
        <w:t>This Invitation to Tender is issued under the:</w:t>
      </w:r>
    </w:p>
    <w:p w14:paraId="287F95E2" w14:textId="77777777" w:rsidR="002B61DB" w:rsidRPr="00C32380" w:rsidRDefault="002B61DB" w:rsidP="002B61DB">
      <w:pPr>
        <w:pStyle w:val="ListParagraph"/>
        <w:numPr>
          <w:ilvl w:val="0"/>
          <w:numId w:val="26"/>
        </w:numPr>
        <w:jc w:val="both"/>
        <w:rPr>
          <w:szCs w:val="20"/>
        </w:rPr>
      </w:pPr>
      <w:r w:rsidRPr="00C32380">
        <w:rPr>
          <w:szCs w:val="20"/>
        </w:rPr>
        <w:t xml:space="preserve">Utilities Contracts (Scotland) Regulations 2016 (Scotland) </w:t>
      </w:r>
    </w:p>
    <w:p w14:paraId="0FEE24D7" w14:textId="48F23231" w:rsidR="002B61DB" w:rsidRPr="00C32380" w:rsidRDefault="002B61DB" w:rsidP="002B61DB">
      <w:pPr>
        <w:jc w:val="both"/>
        <w:rPr>
          <w:szCs w:val="20"/>
        </w:rPr>
      </w:pPr>
      <w:r w:rsidRPr="00C32380">
        <w:rPr>
          <w:szCs w:val="20"/>
        </w:rPr>
        <w:t>with reference to a Call for Competition in the Official Journal of the European Union (OJEU) and the Negotiated Procedure with a Prior Call for Competition will be used as set out therein.</w:t>
      </w:r>
    </w:p>
    <w:p w14:paraId="008F3A61" w14:textId="77777777" w:rsidR="003B1FB5" w:rsidRPr="00C32380" w:rsidRDefault="003B1FB5" w:rsidP="00311E73">
      <w:pPr>
        <w:jc w:val="both"/>
      </w:pPr>
    </w:p>
    <w:p w14:paraId="2D46DDED" w14:textId="6676BBA3" w:rsidR="003B1FB5" w:rsidRPr="00C32380" w:rsidRDefault="003B1FB5" w:rsidP="003B1FB5">
      <w:pPr>
        <w:jc w:val="both"/>
        <w:rPr>
          <w:szCs w:val="20"/>
        </w:rPr>
      </w:pPr>
      <w:r w:rsidRPr="00C32380">
        <w:rPr>
          <w:szCs w:val="20"/>
        </w:rPr>
        <w:t xml:space="preserve">The award will be on the basis of the "Most Economically Advantageous Tender" by the application of the Award Criteria set out </w:t>
      </w:r>
      <w:r w:rsidR="00C32380" w:rsidRPr="00C32380">
        <w:rPr>
          <w:szCs w:val="20"/>
        </w:rPr>
        <w:t>in the contract notice and as further detailed at Invitation to Tender</w:t>
      </w:r>
      <w:r w:rsidR="00C32380">
        <w:rPr>
          <w:szCs w:val="20"/>
        </w:rPr>
        <w:t xml:space="preserve"> following the initial pre-qualification stage</w:t>
      </w:r>
      <w:r w:rsidR="00C32380" w:rsidRPr="00C32380">
        <w:rPr>
          <w:szCs w:val="20"/>
        </w:rPr>
        <w:t>.</w:t>
      </w:r>
    </w:p>
    <w:p w14:paraId="6EC169C7" w14:textId="77777777" w:rsidR="00A138CC" w:rsidRDefault="00A138CC" w:rsidP="00311E73">
      <w:pPr>
        <w:jc w:val="both"/>
        <w:rPr>
          <w:szCs w:val="20"/>
        </w:rPr>
      </w:pPr>
    </w:p>
    <w:p w14:paraId="0D03E238" w14:textId="77777777" w:rsidR="00311D7F" w:rsidRPr="00FB3D07" w:rsidRDefault="00311D7F" w:rsidP="00311E73">
      <w:pPr>
        <w:pStyle w:val="Heading1"/>
        <w:jc w:val="both"/>
      </w:pPr>
      <w:bookmarkStart w:id="14" w:name="_Toc25161484"/>
      <w:r w:rsidRPr="00FB3D07">
        <w:t>Invitation to Tender</w:t>
      </w:r>
      <w:r w:rsidR="00632C11" w:rsidRPr="00FB3D07">
        <w:t xml:space="preserve"> (</w:t>
      </w:r>
      <w:proofErr w:type="spellStart"/>
      <w:r w:rsidR="00632C11" w:rsidRPr="00FB3D07">
        <w:t>RFx</w:t>
      </w:r>
      <w:proofErr w:type="spellEnd"/>
      <w:r w:rsidR="00632C11" w:rsidRPr="00FB3D07">
        <w:t>)</w:t>
      </w:r>
      <w:r w:rsidRPr="00FB3D07">
        <w:t xml:space="preserve"> Documents</w:t>
      </w:r>
      <w:bookmarkEnd w:id="14"/>
    </w:p>
    <w:p w14:paraId="690A399C" w14:textId="523C36EA" w:rsidR="001C4223" w:rsidRPr="002706D7" w:rsidRDefault="00632C11" w:rsidP="002706D7">
      <w:pPr>
        <w:rPr>
          <w:rFonts w:cstheme="minorHAnsi"/>
        </w:rPr>
      </w:pPr>
      <w:r w:rsidRPr="003D53BD">
        <w:rPr>
          <w:rFonts w:cstheme="minorHAnsi"/>
          <w:szCs w:val="20"/>
        </w:rPr>
        <w:t xml:space="preserve">The Authority is using an e-tendering solution </w:t>
      </w:r>
      <w:r w:rsidR="00864CC6" w:rsidRPr="003D53BD">
        <w:rPr>
          <w:rFonts w:cstheme="minorHAnsi"/>
          <w:szCs w:val="20"/>
        </w:rPr>
        <w:t xml:space="preserve">(Emptoris) </w:t>
      </w:r>
      <w:r w:rsidR="000664AE" w:rsidRPr="00E92B57">
        <w:rPr>
          <w:rFonts w:cstheme="minorHAnsi"/>
          <w:szCs w:val="20"/>
        </w:rPr>
        <w:t>(</w:t>
      </w:r>
      <w:hyperlink r:id="rId17" w:anchor="/login/loginPage" w:history="1">
        <w:r w:rsidR="0052625C" w:rsidRPr="002706D7">
          <w:rPr>
            <w:rStyle w:val="Hyperlink"/>
            <w:rFonts w:asciiTheme="minorHAnsi" w:hAnsiTheme="minorHAnsi" w:cstheme="minorHAnsi"/>
            <w:szCs w:val="20"/>
          </w:rPr>
          <w:t>https://sse-sgn.emptoris.com/emptoris/sso_login.jsp#/login/loginPage</w:t>
        </w:r>
      </w:hyperlink>
      <w:r w:rsidR="0052625C" w:rsidRPr="003D53BD">
        <w:rPr>
          <w:rFonts w:cstheme="minorHAnsi"/>
        </w:rPr>
        <w:t xml:space="preserve">) </w:t>
      </w:r>
      <w:r w:rsidRPr="003D53BD">
        <w:rPr>
          <w:rFonts w:cstheme="minorHAnsi"/>
          <w:szCs w:val="20"/>
        </w:rPr>
        <w:t>to manage this tender process with Potential Providers.</w:t>
      </w:r>
      <w:r w:rsidRPr="00E92B57">
        <w:rPr>
          <w:rFonts w:cstheme="minorHAnsi"/>
          <w:szCs w:val="20"/>
        </w:rPr>
        <w:t xml:space="preserve"> No hard copy </w:t>
      </w:r>
      <w:r w:rsidR="001C4223" w:rsidRPr="002706D7">
        <w:rPr>
          <w:rFonts w:cstheme="minorHAnsi"/>
          <w:szCs w:val="20"/>
        </w:rPr>
        <w:t>documents will be issued</w:t>
      </w:r>
      <w:r w:rsidR="00AD4B46" w:rsidRPr="002706D7">
        <w:rPr>
          <w:rFonts w:cstheme="minorHAnsi"/>
          <w:szCs w:val="20"/>
        </w:rPr>
        <w:t xml:space="preserve"> by the Authority</w:t>
      </w:r>
      <w:r w:rsidR="001C4223" w:rsidRPr="002706D7">
        <w:rPr>
          <w:rFonts w:cstheme="minorHAnsi"/>
          <w:szCs w:val="20"/>
        </w:rPr>
        <w:t xml:space="preserve">.  All documentation pertaining to this Invitation to Tender is attached to the </w:t>
      </w:r>
      <w:r w:rsidR="00800F07">
        <w:rPr>
          <w:rFonts w:cstheme="minorHAnsi"/>
          <w:szCs w:val="20"/>
        </w:rPr>
        <w:t>sourcing event</w:t>
      </w:r>
      <w:r w:rsidR="001C4223" w:rsidRPr="002706D7">
        <w:rPr>
          <w:rFonts w:cstheme="minorHAnsi"/>
          <w:szCs w:val="20"/>
        </w:rPr>
        <w:t xml:space="preserve"> in Emptoris.  </w:t>
      </w:r>
    </w:p>
    <w:p w14:paraId="48510983" w14:textId="77777777" w:rsidR="00632C11" w:rsidRPr="002706D7" w:rsidRDefault="00632C11" w:rsidP="00311E73">
      <w:pPr>
        <w:jc w:val="both"/>
        <w:rPr>
          <w:rFonts w:cstheme="minorHAnsi"/>
          <w:szCs w:val="20"/>
        </w:rPr>
      </w:pPr>
    </w:p>
    <w:p w14:paraId="67E6B962" w14:textId="77777777" w:rsidR="00632C11" w:rsidRDefault="00632C11" w:rsidP="00311E73">
      <w:pPr>
        <w:jc w:val="both"/>
        <w:rPr>
          <w:szCs w:val="20"/>
        </w:rPr>
      </w:pPr>
      <w:r>
        <w:rPr>
          <w:szCs w:val="20"/>
        </w:rPr>
        <w:t>The structure of this Invitation to Tender is as follows:</w:t>
      </w:r>
    </w:p>
    <w:p w14:paraId="0EC6AF16" w14:textId="7F75D552" w:rsidR="001C4223" w:rsidRPr="005008A8" w:rsidRDefault="001C4223" w:rsidP="00311E73">
      <w:pPr>
        <w:jc w:val="both"/>
        <w:rPr>
          <w:b/>
          <w:szCs w:val="20"/>
          <w:u w:val="single"/>
        </w:rPr>
      </w:pPr>
    </w:p>
    <w:p w14:paraId="77378EB8" w14:textId="290E7E19" w:rsidR="001C4223" w:rsidRPr="00D41E50" w:rsidRDefault="005D0FF0" w:rsidP="00311E73">
      <w:pPr>
        <w:jc w:val="both"/>
        <w:rPr>
          <w:szCs w:val="20"/>
        </w:rPr>
      </w:pPr>
      <w:r>
        <w:rPr>
          <w:szCs w:val="20"/>
        </w:rPr>
        <w:t xml:space="preserve">Potential Providers </w:t>
      </w:r>
      <w:r w:rsidR="001C4223">
        <w:rPr>
          <w:szCs w:val="20"/>
        </w:rPr>
        <w:t xml:space="preserve">must check that they can access all of the Attachments listed </w:t>
      </w:r>
      <w:r w:rsidR="005008A8">
        <w:rPr>
          <w:szCs w:val="20"/>
        </w:rPr>
        <w:t>below</w:t>
      </w:r>
      <w:r w:rsidR="001C4223">
        <w:rPr>
          <w:szCs w:val="20"/>
        </w:rPr>
        <w:t xml:space="preserve"> within Emptoris and that </w:t>
      </w:r>
      <w:r w:rsidR="00864CC6">
        <w:rPr>
          <w:szCs w:val="20"/>
        </w:rPr>
        <w:t xml:space="preserve">their submissions </w:t>
      </w:r>
      <w:r w:rsidR="001C4223">
        <w:rPr>
          <w:szCs w:val="20"/>
        </w:rPr>
        <w:t xml:space="preserve">are </w:t>
      </w:r>
      <w:r w:rsidR="001C4223" w:rsidRPr="00D41E50">
        <w:rPr>
          <w:szCs w:val="20"/>
        </w:rPr>
        <w:t>complete in all respects.</w:t>
      </w:r>
      <w:r w:rsidR="00D1498E">
        <w:rPr>
          <w:szCs w:val="20"/>
        </w:rPr>
        <w:t xml:space="preserve">  Any errors, inaccuracies or omissions in the </w:t>
      </w:r>
      <w:r w:rsidR="005008A8">
        <w:rPr>
          <w:szCs w:val="20"/>
        </w:rPr>
        <w:t>procurement</w:t>
      </w:r>
      <w:r w:rsidR="00D1498E">
        <w:rPr>
          <w:szCs w:val="20"/>
        </w:rPr>
        <w:t xml:space="preserve"> documents should be advised by the Potential Provider to the Authority</w:t>
      </w:r>
      <w:r w:rsidR="00864CC6">
        <w:rPr>
          <w:szCs w:val="20"/>
        </w:rPr>
        <w:t>.</w:t>
      </w:r>
      <w:r w:rsidR="00D1498E">
        <w:rPr>
          <w:szCs w:val="20"/>
        </w:rPr>
        <w:t xml:space="preserve"> </w:t>
      </w:r>
      <w:r w:rsidR="00864CC6">
        <w:rPr>
          <w:szCs w:val="20"/>
        </w:rPr>
        <w:t>T</w:t>
      </w:r>
      <w:r w:rsidR="00D1498E">
        <w:rPr>
          <w:szCs w:val="20"/>
        </w:rPr>
        <w:t xml:space="preserve">he Authority accepts no liability for such errors, omissions or inaccuracies.  </w:t>
      </w:r>
    </w:p>
    <w:p w14:paraId="296B1DBC" w14:textId="77777777" w:rsidR="001C4223" w:rsidRPr="00D41E50" w:rsidRDefault="001C4223" w:rsidP="00311E73">
      <w:pPr>
        <w:jc w:val="both"/>
        <w:rPr>
          <w:szCs w:val="20"/>
        </w:rPr>
      </w:pPr>
    </w:p>
    <w:p w14:paraId="0D607690" w14:textId="6A778B45" w:rsidR="001C4223" w:rsidRDefault="00D86731" w:rsidP="00311E73">
      <w:pPr>
        <w:jc w:val="both"/>
        <w:rPr>
          <w:szCs w:val="20"/>
        </w:rPr>
      </w:pPr>
      <w:r>
        <w:rPr>
          <w:szCs w:val="20"/>
        </w:rPr>
        <w:lastRenderedPageBreak/>
        <w:t xml:space="preserve">The Authority </w:t>
      </w:r>
      <w:r w:rsidR="001C4223" w:rsidRPr="00F27A52">
        <w:rPr>
          <w:szCs w:val="20"/>
        </w:rPr>
        <w:t>reserve</w:t>
      </w:r>
      <w:r>
        <w:rPr>
          <w:szCs w:val="20"/>
        </w:rPr>
        <w:t>s</w:t>
      </w:r>
      <w:r w:rsidR="001C4223" w:rsidRPr="00F27A52">
        <w:rPr>
          <w:szCs w:val="20"/>
        </w:rPr>
        <w:t xml:space="preserve"> the right to issue amendments to the </w:t>
      </w:r>
      <w:r w:rsidR="005008A8">
        <w:rPr>
          <w:szCs w:val="20"/>
        </w:rPr>
        <w:t>procurement documents</w:t>
      </w:r>
      <w:r w:rsidR="001C4223" w:rsidRPr="00F27A52">
        <w:rPr>
          <w:szCs w:val="20"/>
        </w:rPr>
        <w:t xml:space="preserve"> at </w:t>
      </w:r>
      <w:r>
        <w:rPr>
          <w:szCs w:val="20"/>
        </w:rPr>
        <w:t>any time after issue</w:t>
      </w:r>
      <w:r w:rsidR="001C4223" w:rsidRPr="000004C3">
        <w:rPr>
          <w:szCs w:val="20"/>
        </w:rPr>
        <w:t xml:space="preserve"> until six working days prior to the date and t</w:t>
      </w:r>
      <w:r>
        <w:rPr>
          <w:szCs w:val="20"/>
        </w:rPr>
        <w:t xml:space="preserve">ime for the return of </w:t>
      </w:r>
      <w:r w:rsidR="005008A8">
        <w:rPr>
          <w:szCs w:val="20"/>
        </w:rPr>
        <w:t>PQQs</w:t>
      </w:r>
      <w:r w:rsidR="001C4223" w:rsidRPr="00A6346A">
        <w:rPr>
          <w:szCs w:val="20"/>
        </w:rPr>
        <w:t>.</w:t>
      </w:r>
      <w:r w:rsidR="001C4223" w:rsidRPr="0028283F">
        <w:rPr>
          <w:szCs w:val="20"/>
        </w:rPr>
        <w:t xml:space="preserve">  Any such amendments </w:t>
      </w:r>
      <w:r>
        <w:rPr>
          <w:szCs w:val="20"/>
        </w:rPr>
        <w:t xml:space="preserve">will be placed in the </w:t>
      </w:r>
      <w:r w:rsidR="001C4223">
        <w:rPr>
          <w:szCs w:val="20"/>
        </w:rPr>
        <w:t>A</w:t>
      </w:r>
      <w:r w:rsidR="001C4223" w:rsidRPr="00F27A52">
        <w:rPr>
          <w:szCs w:val="20"/>
        </w:rPr>
        <w:t xml:space="preserve">ttachments folder associated </w:t>
      </w:r>
      <w:r w:rsidR="001C4223">
        <w:rPr>
          <w:szCs w:val="20"/>
        </w:rPr>
        <w:t>with</w:t>
      </w:r>
      <w:r w:rsidR="00DA75A6">
        <w:rPr>
          <w:szCs w:val="20"/>
        </w:rPr>
        <w:t xml:space="preserve"> this </w:t>
      </w:r>
      <w:r w:rsidR="005008A8">
        <w:rPr>
          <w:szCs w:val="20"/>
        </w:rPr>
        <w:t>PQQ</w:t>
      </w:r>
      <w:r w:rsidR="001C4223">
        <w:rPr>
          <w:szCs w:val="20"/>
        </w:rPr>
        <w:t>.</w:t>
      </w:r>
      <w:r w:rsidR="001C4223" w:rsidRPr="00F27A52">
        <w:rPr>
          <w:szCs w:val="20"/>
        </w:rPr>
        <w:t xml:space="preserve"> </w:t>
      </w:r>
      <w:r w:rsidR="001C4223">
        <w:rPr>
          <w:szCs w:val="20"/>
        </w:rPr>
        <w:t>You are advised to check the Attachments folder on a regular basis as you may not be notified of individual updates.</w:t>
      </w:r>
    </w:p>
    <w:p w14:paraId="69E32DE9" w14:textId="69A066DC" w:rsidR="00294DE3" w:rsidRDefault="00294DE3" w:rsidP="00311E73">
      <w:pPr>
        <w:jc w:val="both"/>
        <w:rPr>
          <w:szCs w:val="20"/>
        </w:rPr>
      </w:pPr>
    </w:p>
    <w:p w14:paraId="50371A37" w14:textId="4F4DA7CD" w:rsidR="001C4223" w:rsidRPr="00D45EAE" w:rsidRDefault="001C4223" w:rsidP="00311E73">
      <w:pPr>
        <w:pStyle w:val="Heading1"/>
        <w:jc w:val="both"/>
      </w:pPr>
      <w:bookmarkStart w:id="15" w:name="_Toc5953014"/>
      <w:bookmarkStart w:id="16" w:name="_Toc5973500"/>
      <w:bookmarkStart w:id="17" w:name="_Toc25161485"/>
      <w:bookmarkEnd w:id="15"/>
      <w:bookmarkEnd w:id="16"/>
      <w:r>
        <w:t>Communications</w:t>
      </w:r>
      <w:r w:rsidR="009A791C">
        <w:t xml:space="preserve"> and Pre-</w:t>
      </w:r>
      <w:r w:rsidR="00D45EAE">
        <w:t>tender queries</w:t>
      </w:r>
      <w:bookmarkEnd w:id="17"/>
    </w:p>
    <w:p w14:paraId="6CF59CC6" w14:textId="4AB86AFF" w:rsidR="001C4223" w:rsidRDefault="001C4223" w:rsidP="00311E73">
      <w:pPr>
        <w:jc w:val="both"/>
        <w:rPr>
          <w:szCs w:val="20"/>
        </w:rPr>
      </w:pPr>
      <w:r>
        <w:rPr>
          <w:szCs w:val="20"/>
        </w:rPr>
        <w:t>All communications relating to this tende</w:t>
      </w:r>
      <w:r w:rsidR="00D86731">
        <w:rPr>
          <w:szCs w:val="20"/>
        </w:rPr>
        <w:t>r will be conducted via Emptoris</w:t>
      </w:r>
      <w:r>
        <w:rPr>
          <w:szCs w:val="20"/>
        </w:rPr>
        <w:t xml:space="preserve">.  Any communications received via other methods will </w:t>
      </w:r>
      <w:r w:rsidR="00314F57">
        <w:rPr>
          <w:szCs w:val="20"/>
        </w:rPr>
        <w:t xml:space="preserve">not be accepted or responded to by the Authority. </w:t>
      </w:r>
    </w:p>
    <w:p w14:paraId="258C4E3E" w14:textId="77777777" w:rsidR="001C4223" w:rsidRDefault="001C4223" w:rsidP="00311E73">
      <w:pPr>
        <w:jc w:val="both"/>
        <w:rPr>
          <w:szCs w:val="20"/>
        </w:rPr>
      </w:pPr>
    </w:p>
    <w:p w14:paraId="12A2732C" w14:textId="74A12D25" w:rsidR="001C4223" w:rsidRDefault="00314F57" w:rsidP="00311E73">
      <w:pPr>
        <w:jc w:val="both"/>
        <w:rPr>
          <w:szCs w:val="20"/>
        </w:rPr>
      </w:pPr>
      <w:r>
        <w:rPr>
          <w:szCs w:val="20"/>
        </w:rPr>
        <w:t>It is</w:t>
      </w:r>
      <w:r w:rsidR="00094C80">
        <w:rPr>
          <w:szCs w:val="20"/>
        </w:rPr>
        <w:t xml:space="preserve"> the Potential Provider's</w:t>
      </w:r>
      <w:r>
        <w:rPr>
          <w:szCs w:val="20"/>
        </w:rPr>
        <w:t xml:space="preserve"> responsibility to </w:t>
      </w:r>
      <w:r w:rsidR="00DA75A6">
        <w:rPr>
          <w:szCs w:val="20"/>
        </w:rPr>
        <w:t xml:space="preserve">ensure that </w:t>
      </w:r>
      <w:r w:rsidR="00094C80">
        <w:rPr>
          <w:szCs w:val="20"/>
        </w:rPr>
        <w:t xml:space="preserve">its </w:t>
      </w:r>
      <w:r w:rsidR="001C4223">
        <w:rPr>
          <w:szCs w:val="20"/>
        </w:rPr>
        <w:t xml:space="preserve">point of contact in </w:t>
      </w:r>
      <w:r w:rsidR="001C4223" w:rsidRPr="003D53BD">
        <w:rPr>
          <w:szCs w:val="20"/>
        </w:rPr>
        <w:t xml:space="preserve">Emptoris </w:t>
      </w:r>
      <w:r w:rsidR="001C4223">
        <w:rPr>
          <w:szCs w:val="20"/>
        </w:rPr>
        <w:t>is accurate at all times</w:t>
      </w:r>
      <w:r w:rsidR="00094C80">
        <w:rPr>
          <w:szCs w:val="20"/>
        </w:rPr>
        <w:t xml:space="preserve">.  The Authority will only use the Emptoris contact details for any necessary communications. </w:t>
      </w:r>
    </w:p>
    <w:p w14:paraId="7D291FDE" w14:textId="77777777" w:rsidR="00D86731" w:rsidRDefault="00D86731" w:rsidP="00311E73">
      <w:pPr>
        <w:jc w:val="both"/>
        <w:rPr>
          <w:szCs w:val="20"/>
        </w:rPr>
      </w:pPr>
    </w:p>
    <w:p w14:paraId="2DB89364" w14:textId="6AE339DB" w:rsidR="00D86731" w:rsidRPr="00D41E50" w:rsidRDefault="00D86731" w:rsidP="00311E73">
      <w:pPr>
        <w:jc w:val="both"/>
        <w:rPr>
          <w:szCs w:val="20"/>
        </w:rPr>
      </w:pPr>
      <w:r>
        <w:rPr>
          <w:szCs w:val="20"/>
        </w:rPr>
        <w:t>If Potential Providers</w:t>
      </w:r>
      <w:r w:rsidRPr="00D41E50">
        <w:rPr>
          <w:szCs w:val="20"/>
        </w:rPr>
        <w:t xml:space="preserve"> have any queries regarding</w:t>
      </w:r>
      <w:r>
        <w:rPr>
          <w:szCs w:val="20"/>
        </w:rPr>
        <w:t xml:space="preserve"> this </w:t>
      </w:r>
      <w:r w:rsidR="005008A8">
        <w:rPr>
          <w:szCs w:val="20"/>
        </w:rPr>
        <w:t>PQQ exercise</w:t>
      </w:r>
      <w:r w:rsidRPr="00D41E50">
        <w:rPr>
          <w:szCs w:val="20"/>
        </w:rPr>
        <w:t>, these should be subm</w:t>
      </w:r>
      <w:r>
        <w:rPr>
          <w:szCs w:val="20"/>
        </w:rPr>
        <w:t>itt</w:t>
      </w:r>
      <w:r w:rsidRPr="00D41E50">
        <w:rPr>
          <w:szCs w:val="20"/>
        </w:rPr>
        <w:t>ed</w:t>
      </w:r>
      <w:r w:rsidR="00DA75A6">
        <w:rPr>
          <w:szCs w:val="20"/>
        </w:rPr>
        <w:t xml:space="preserve"> to the </w:t>
      </w:r>
      <w:r w:rsidR="005008A8">
        <w:rPr>
          <w:szCs w:val="20"/>
        </w:rPr>
        <w:t>procurement</w:t>
      </w:r>
      <w:r w:rsidR="00DA75A6">
        <w:rPr>
          <w:szCs w:val="20"/>
        </w:rPr>
        <w:t xml:space="preserve"> lead</w:t>
      </w:r>
      <w:r w:rsidRPr="00D41E50">
        <w:rPr>
          <w:szCs w:val="20"/>
        </w:rPr>
        <w:t xml:space="preserve"> </w:t>
      </w:r>
      <w:r>
        <w:rPr>
          <w:szCs w:val="20"/>
        </w:rPr>
        <w:t>using Emptoris messaging</w:t>
      </w:r>
      <w:r w:rsidRPr="003D53BD">
        <w:rPr>
          <w:szCs w:val="20"/>
        </w:rPr>
        <w:t>.</w:t>
      </w:r>
      <w:r w:rsidR="009A791C" w:rsidRPr="003D53BD">
        <w:rPr>
          <w:szCs w:val="20"/>
        </w:rPr>
        <w:t xml:space="preserve"> </w:t>
      </w:r>
      <w:r w:rsidR="009A791C" w:rsidRPr="002706D7">
        <w:rPr>
          <w:szCs w:val="20"/>
        </w:rPr>
        <w:t>Pre-tender queries must be contained in the body of your message – attachments will not be visible to the buyer.</w:t>
      </w:r>
      <w:r w:rsidRPr="003D53BD">
        <w:rPr>
          <w:szCs w:val="20"/>
        </w:rPr>
        <w:t xml:space="preserve"> </w:t>
      </w:r>
      <w:r w:rsidR="00D1498E" w:rsidRPr="003D53BD">
        <w:rPr>
          <w:szCs w:val="20"/>
        </w:rPr>
        <w:t xml:space="preserve">Please </w:t>
      </w:r>
      <w:r w:rsidR="00D1498E" w:rsidRPr="00C27613">
        <w:rPr>
          <w:szCs w:val="20"/>
        </w:rPr>
        <w:t xml:space="preserve">do not refer to your identity in the body of the question.  </w:t>
      </w:r>
      <w:r w:rsidRPr="00C27613">
        <w:rPr>
          <w:szCs w:val="20"/>
        </w:rPr>
        <w:t xml:space="preserve">The last day for submission of queries from </w:t>
      </w:r>
      <w:r>
        <w:rPr>
          <w:szCs w:val="20"/>
        </w:rPr>
        <w:t xml:space="preserve">Potential </w:t>
      </w:r>
      <w:r w:rsidR="005352F2">
        <w:rPr>
          <w:szCs w:val="20"/>
        </w:rPr>
        <w:t>P</w:t>
      </w:r>
      <w:r>
        <w:rPr>
          <w:szCs w:val="20"/>
        </w:rPr>
        <w:t xml:space="preserve">roviders is seven days prior to the tender closing date.  </w:t>
      </w:r>
      <w:r w:rsidRPr="00D41E50">
        <w:rPr>
          <w:szCs w:val="20"/>
        </w:rPr>
        <w:t>Any queries received after this date may not be responded to.</w:t>
      </w:r>
    </w:p>
    <w:p w14:paraId="1CFB3407" w14:textId="77777777" w:rsidR="00D86731" w:rsidRDefault="00D86731" w:rsidP="00311E73">
      <w:pPr>
        <w:jc w:val="both"/>
        <w:rPr>
          <w:szCs w:val="20"/>
        </w:rPr>
      </w:pPr>
    </w:p>
    <w:p w14:paraId="6C07BC11" w14:textId="0E59F524" w:rsidR="00D86731" w:rsidRDefault="00D86731" w:rsidP="00311E73">
      <w:pPr>
        <w:jc w:val="both"/>
        <w:rPr>
          <w:szCs w:val="20"/>
        </w:rPr>
      </w:pPr>
      <w:r>
        <w:rPr>
          <w:szCs w:val="20"/>
        </w:rPr>
        <w:t xml:space="preserve">The Authority will publish </w:t>
      </w:r>
      <w:r w:rsidRPr="000004C3">
        <w:rPr>
          <w:szCs w:val="20"/>
        </w:rPr>
        <w:t xml:space="preserve">responses to </w:t>
      </w:r>
      <w:r>
        <w:rPr>
          <w:szCs w:val="20"/>
        </w:rPr>
        <w:t>queries</w:t>
      </w:r>
      <w:r w:rsidRPr="000004C3">
        <w:rPr>
          <w:szCs w:val="20"/>
        </w:rPr>
        <w:t xml:space="preserve"> </w:t>
      </w:r>
      <w:r w:rsidRPr="00A6346A">
        <w:rPr>
          <w:szCs w:val="20"/>
        </w:rPr>
        <w:t xml:space="preserve">in the “Attachments” section of </w:t>
      </w:r>
      <w:r w:rsidR="00DA75A6">
        <w:rPr>
          <w:szCs w:val="20"/>
        </w:rPr>
        <w:t xml:space="preserve">the </w:t>
      </w:r>
      <w:r w:rsidR="001522E6">
        <w:rPr>
          <w:szCs w:val="20"/>
        </w:rPr>
        <w:t>sourcing event on Emptoris</w:t>
      </w:r>
      <w:r w:rsidR="00DA75A6">
        <w:rPr>
          <w:szCs w:val="20"/>
        </w:rPr>
        <w:t xml:space="preserve"> </w:t>
      </w:r>
      <w:r w:rsidRPr="0028283F">
        <w:rPr>
          <w:szCs w:val="20"/>
        </w:rPr>
        <w:t>(</w:t>
      </w:r>
      <w:r w:rsidR="00864CC6">
        <w:rPr>
          <w:szCs w:val="20"/>
        </w:rPr>
        <w:t xml:space="preserve">in a </w:t>
      </w:r>
      <w:r w:rsidRPr="0028283F">
        <w:rPr>
          <w:szCs w:val="20"/>
        </w:rPr>
        <w:t>“Que</w:t>
      </w:r>
      <w:r>
        <w:rPr>
          <w:szCs w:val="20"/>
        </w:rPr>
        <w:t>stions and Answers” document) visible to all Potential Providers.</w:t>
      </w:r>
      <w:r w:rsidR="00D1498E">
        <w:rPr>
          <w:szCs w:val="20"/>
        </w:rPr>
        <w:t xml:space="preserve">  If you believe your query to be confidential and do not wish the query or the response to be visible to all Potential Providers, you must notify the Authority and provide justification for keeping the question and</w:t>
      </w:r>
      <w:r w:rsidR="009A791C">
        <w:rPr>
          <w:szCs w:val="20"/>
        </w:rPr>
        <w:t xml:space="preserve"> response visible only to you.</w:t>
      </w:r>
      <w:r>
        <w:rPr>
          <w:szCs w:val="20"/>
        </w:rPr>
        <w:t xml:space="preserve"> </w:t>
      </w:r>
      <w:r w:rsidR="00D1498E">
        <w:rPr>
          <w:szCs w:val="20"/>
        </w:rPr>
        <w:t xml:space="preserve">If the Authority does not feel there is sufficient justification, we </w:t>
      </w:r>
      <w:r w:rsidR="00AB2516">
        <w:rPr>
          <w:szCs w:val="20"/>
        </w:rPr>
        <w:t xml:space="preserve">will </w:t>
      </w:r>
      <w:r w:rsidR="00D1498E">
        <w:rPr>
          <w:szCs w:val="20"/>
        </w:rPr>
        <w:t>ask you to confirm whether you want the question to be withdrawn or published to all and will thereafter follow your decision.</w:t>
      </w:r>
    </w:p>
    <w:p w14:paraId="7FC6DBF9" w14:textId="77777777" w:rsidR="00D1498E" w:rsidRDefault="00D1498E" w:rsidP="00311E73">
      <w:pPr>
        <w:jc w:val="both"/>
        <w:rPr>
          <w:szCs w:val="20"/>
        </w:rPr>
      </w:pPr>
    </w:p>
    <w:p w14:paraId="0AF1CCC8" w14:textId="77777777" w:rsidR="00632C11" w:rsidRDefault="00D1498E" w:rsidP="00311E73">
      <w:pPr>
        <w:jc w:val="both"/>
        <w:rPr>
          <w:szCs w:val="20"/>
        </w:rPr>
      </w:pPr>
      <w:r>
        <w:rPr>
          <w:szCs w:val="20"/>
        </w:rPr>
        <w:t>Potential Providers</w:t>
      </w:r>
      <w:r w:rsidR="00D86731">
        <w:rPr>
          <w:szCs w:val="20"/>
        </w:rPr>
        <w:t xml:space="preserve"> are responsible for monitoring Emptoris and the ‘Questions and Answers’ document in particular, for any responses to questions, general clarifications</w:t>
      </w:r>
      <w:r>
        <w:rPr>
          <w:szCs w:val="20"/>
        </w:rPr>
        <w:t xml:space="preserve"> or other information issued by the Authority</w:t>
      </w:r>
      <w:r w:rsidR="00D86731">
        <w:rPr>
          <w:szCs w:val="20"/>
        </w:rPr>
        <w:t xml:space="preserve">.  </w:t>
      </w:r>
    </w:p>
    <w:p w14:paraId="7949C8BA" w14:textId="77777777" w:rsidR="00632C11" w:rsidRPr="00D41E50" w:rsidRDefault="00632C11" w:rsidP="00311E73">
      <w:pPr>
        <w:jc w:val="both"/>
        <w:rPr>
          <w:szCs w:val="20"/>
        </w:rPr>
      </w:pPr>
    </w:p>
    <w:p w14:paraId="1EA690FE" w14:textId="77777777" w:rsidR="00311D7F" w:rsidRPr="00D41E50" w:rsidRDefault="00311D7F" w:rsidP="00311E73">
      <w:pPr>
        <w:pStyle w:val="Heading1"/>
        <w:jc w:val="both"/>
      </w:pPr>
      <w:bookmarkStart w:id="18" w:name="_Toc25161486"/>
      <w:r w:rsidRPr="00D41E50">
        <w:t>Confidentiality</w:t>
      </w:r>
      <w:r w:rsidR="003365BB">
        <w:t xml:space="preserve"> and Intellectual Property Rights</w:t>
      </w:r>
      <w:bookmarkEnd w:id="18"/>
    </w:p>
    <w:p w14:paraId="771518D7" w14:textId="78B16DB9" w:rsidR="005D0FF0" w:rsidRPr="002F4311" w:rsidRDefault="005D0FF0" w:rsidP="00311E73">
      <w:pPr>
        <w:jc w:val="both"/>
        <w:rPr>
          <w:szCs w:val="20"/>
        </w:rPr>
      </w:pPr>
      <w:r>
        <w:rPr>
          <w:color w:val="000000"/>
          <w:szCs w:val="20"/>
        </w:rPr>
        <w:t>Potential Providers</w:t>
      </w:r>
      <w:r w:rsidRPr="00D11847">
        <w:rPr>
          <w:color w:val="000000"/>
          <w:szCs w:val="20"/>
        </w:rPr>
        <w:t xml:space="preserve"> shall not disclose any information in relation to either this </w:t>
      </w:r>
      <w:r>
        <w:rPr>
          <w:color w:val="000000"/>
          <w:szCs w:val="20"/>
        </w:rPr>
        <w:t>Invitation to Tender</w:t>
      </w:r>
      <w:r w:rsidR="008B2637">
        <w:rPr>
          <w:color w:val="000000"/>
          <w:szCs w:val="20"/>
        </w:rPr>
        <w:t>, their T</w:t>
      </w:r>
      <w:r w:rsidRPr="00D11847">
        <w:rPr>
          <w:color w:val="000000"/>
          <w:szCs w:val="20"/>
        </w:rPr>
        <w:t>ender submission or subsequent queries and correspondence in whole or in part to any third party prior to either the award of the contract by us</w:t>
      </w:r>
      <w:r w:rsidRPr="00D11847">
        <w:rPr>
          <w:szCs w:val="20"/>
        </w:rPr>
        <w:t xml:space="preserve"> </w:t>
      </w:r>
      <w:r w:rsidR="00864CC6">
        <w:rPr>
          <w:color w:val="000000"/>
          <w:szCs w:val="20"/>
        </w:rPr>
        <w:t>unless</w:t>
      </w:r>
      <w:r w:rsidRPr="00D11847">
        <w:rPr>
          <w:color w:val="000000"/>
          <w:szCs w:val="20"/>
        </w:rPr>
        <w:t xml:space="preserve"> permission is received in writing from a duly authorised representative</w:t>
      </w:r>
      <w:r w:rsidR="00864CC6">
        <w:rPr>
          <w:color w:val="000000"/>
          <w:szCs w:val="20"/>
        </w:rPr>
        <w:t xml:space="preserve"> of the Authority</w:t>
      </w:r>
      <w:r w:rsidRPr="00D11847">
        <w:rPr>
          <w:color w:val="000000"/>
          <w:szCs w:val="20"/>
        </w:rPr>
        <w:t xml:space="preserve">. </w:t>
      </w:r>
    </w:p>
    <w:p w14:paraId="7F66F5A0" w14:textId="77777777" w:rsidR="005D0FF0" w:rsidRPr="002F4311" w:rsidRDefault="005D0FF0" w:rsidP="00311E73">
      <w:pPr>
        <w:jc w:val="both"/>
        <w:rPr>
          <w:szCs w:val="20"/>
        </w:rPr>
      </w:pPr>
    </w:p>
    <w:p w14:paraId="2BE9EF57" w14:textId="0CAC9C2A" w:rsidR="005D0FF0" w:rsidRDefault="005D0FF0" w:rsidP="00311E73">
      <w:pPr>
        <w:jc w:val="both"/>
        <w:rPr>
          <w:color w:val="000000"/>
          <w:szCs w:val="20"/>
        </w:rPr>
      </w:pPr>
      <w:r w:rsidRPr="005D0FF0">
        <w:rPr>
          <w:color w:val="000000"/>
          <w:szCs w:val="20"/>
        </w:rPr>
        <w:t xml:space="preserve">Potential Providers are to restrict circulation and distribution of this Invitation to Tender to </w:t>
      </w:r>
      <w:r w:rsidR="00864CC6">
        <w:rPr>
          <w:color w:val="000000"/>
          <w:szCs w:val="20"/>
        </w:rPr>
        <w:t>s</w:t>
      </w:r>
      <w:r w:rsidRPr="005D0FF0">
        <w:rPr>
          <w:color w:val="000000"/>
          <w:szCs w:val="20"/>
        </w:rPr>
        <w:t xml:space="preserve">uppliers and </w:t>
      </w:r>
      <w:r w:rsidR="00864CC6">
        <w:rPr>
          <w:color w:val="000000"/>
          <w:szCs w:val="20"/>
        </w:rPr>
        <w:t>s</w:t>
      </w:r>
      <w:r w:rsidRPr="005D0FF0">
        <w:rPr>
          <w:color w:val="000000"/>
          <w:szCs w:val="20"/>
        </w:rPr>
        <w:t xml:space="preserve">ubcontractors on a "need to know" basis and then only for the purposes for which it has been supplied and when the </w:t>
      </w:r>
      <w:r w:rsidR="00864CC6">
        <w:rPr>
          <w:color w:val="000000"/>
          <w:szCs w:val="20"/>
        </w:rPr>
        <w:t>s</w:t>
      </w:r>
      <w:r w:rsidRPr="005D0FF0">
        <w:rPr>
          <w:color w:val="000000"/>
          <w:szCs w:val="20"/>
        </w:rPr>
        <w:t xml:space="preserve">upplier or </w:t>
      </w:r>
      <w:r w:rsidR="00864CC6">
        <w:rPr>
          <w:color w:val="000000"/>
          <w:szCs w:val="20"/>
        </w:rPr>
        <w:t>s</w:t>
      </w:r>
      <w:r w:rsidRPr="005D0FF0">
        <w:rPr>
          <w:color w:val="000000"/>
          <w:szCs w:val="20"/>
        </w:rPr>
        <w:t xml:space="preserve">ubcontractor is bound by the same terms of confidentiality stated herein.  </w:t>
      </w:r>
    </w:p>
    <w:p w14:paraId="488FABF4" w14:textId="77777777" w:rsidR="005D0FF0" w:rsidRPr="005D0FF0" w:rsidRDefault="005D0FF0" w:rsidP="00311E73">
      <w:pPr>
        <w:jc w:val="both"/>
        <w:rPr>
          <w:color w:val="000000"/>
          <w:szCs w:val="20"/>
        </w:rPr>
      </w:pPr>
    </w:p>
    <w:p w14:paraId="4AC49731" w14:textId="1F506502" w:rsidR="005D0FF0" w:rsidRDefault="005D0FF0" w:rsidP="00311E73">
      <w:pPr>
        <w:jc w:val="both"/>
        <w:rPr>
          <w:color w:val="000000"/>
          <w:szCs w:val="20"/>
        </w:rPr>
      </w:pPr>
      <w:r w:rsidRPr="002F4311">
        <w:rPr>
          <w:color w:val="000000"/>
          <w:szCs w:val="20"/>
        </w:rPr>
        <w:t>If you, as representative of your company, are not in agreement with this “Confidentiality Notice” or you elect not to respond</w:t>
      </w:r>
      <w:r>
        <w:rPr>
          <w:color w:val="000000"/>
          <w:szCs w:val="20"/>
        </w:rPr>
        <w:t xml:space="preserve"> to this </w:t>
      </w:r>
      <w:r w:rsidR="001522E6">
        <w:rPr>
          <w:color w:val="000000"/>
          <w:szCs w:val="20"/>
        </w:rPr>
        <w:t>opportunity</w:t>
      </w:r>
      <w:r w:rsidRPr="002F4311">
        <w:rPr>
          <w:color w:val="000000"/>
          <w:szCs w:val="20"/>
        </w:rPr>
        <w:t>, please inform</w:t>
      </w:r>
      <w:r>
        <w:rPr>
          <w:color w:val="000000"/>
          <w:szCs w:val="20"/>
        </w:rPr>
        <w:t xml:space="preserve"> the </w:t>
      </w:r>
      <w:r w:rsidR="001522E6">
        <w:rPr>
          <w:color w:val="000000"/>
          <w:szCs w:val="20"/>
        </w:rPr>
        <w:t>procurement</w:t>
      </w:r>
      <w:r w:rsidR="00AB2516">
        <w:rPr>
          <w:color w:val="000000"/>
          <w:szCs w:val="20"/>
        </w:rPr>
        <w:t xml:space="preserve"> lead </w:t>
      </w:r>
      <w:r>
        <w:rPr>
          <w:color w:val="000000"/>
          <w:szCs w:val="20"/>
        </w:rPr>
        <w:t xml:space="preserve">and delete all associated documents and correspondence, at all times </w:t>
      </w:r>
      <w:r w:rsidRPr="002F4311">
        <w:rPr>
          <w:color w:val="000000"/>
          <w:szCs w:val="20"/>
        </w:rPr>
        <w:t>treat</w:t>
      </w:r>
      <w:r>
        <w:rPr>
          <w:color w:val="000000"/>
          <w:szCs w:val="20"/>
        </w:rPr>
        <w:t>ing</w:t>
      </w:r>
      <w:r w:rsidRPr="002F4311">
        <w:rPr>
          <w:color w:val="000000"/>
          <w:szCs w:val="20"/>
        </w:rPr>
        <w:t xml:space="preserve"> the information contained herein as confidential.  Otherwise, th</w:t>
      </w:r>
      <w:r>
        <w:rPr>
          <w:color w:val="000000"/>
          <w:szCs w:val="20"/>
        </w:rPr>
        <w:t xml:space="preserve">ese confidentiality provisions are </w:t>
      </w:r>
      <w:r w:rsidRPr="002F4311">
        <w:rPr>
          <w:color w:val="000000"/>
          <w:szCs w:val="20"/>
        </w:rPr>
        <w:t>deemed accepted</w:t>
      </w:r>
      <w:r>
        <w:rPr>
          <w:color w:val="000000"/>
          <w:szCs w:val="20"/>
        </w:rPr>
        <w:t>.</w:t>
      </w:r>
    </w:p>
    <w:p w14:paraId="72E90DB0" w14:textId="77777777" w:rsidR="003365BB" w:rsidRDefault="003365BB" w:rsidP="00311E73">
      <w:pPr>
        <w:jc w:val="both"/>
        <w:rPr>
          <w:color w:val="000000"/>
          <w:szCs w:val="20"/>
        </w:rPr>
      </w:pPr>
    </w:p>
    <w:p w14:paraId="71BEFF70" w14:textId="491FC3F4" w:rsidR="003365BB" w:rsidRDefault="003365BB" w:rsidP="00311E73">
      <w:pPr>
        <w:jc w:val="both"/>
        <w:rPr>
          <w:color w:val="000000"/>
          <w:szCs w:val="20"/>
        </w:rPr>
      </w:pPr>
      <w:r>
        <w:rPr>
          <w:color w:val="000000"/>
          <w:szCs w:val="20"/>
        </w:rPr>
        <w:t xml:space="preserve">This </w:t>
      </w:r>
      <w:r w:rsidR="001522E6">
        <w:rPr>
          <w:color w:val="000000"/>
          <w:szCs w:val="20"/>
        </w:rPr>
        <w:t xml:space="preserve">PQQ and </w:t>
      </w:r>
      <w:r>
        <w:rPr>
          <w:color w:val="000000"/>
          <w:szCs w:val="20"/>
        </w:rPr>
        <w:t>Invitation to Tender and all associated documentation remain the property of the Authority.  The Authority provides a license to the Potential Provider to use the information for the sole purpose of responding to this Invitation to Tender.</w:t>
      </w:r>
    </w:p>
    <w:p w14:paraId="475A581C" w14:textId="77777777" w:rsidR="003365BB" w:rsidRDefault="003365BB" w:rsidP="00311E73">
      <w:pPr>
        <w:jc w:val="both"/>
        <w:rPr>
          <w:color w:val="000000"/>
          <w:szCs w:val="20"/>
        </w:rPr>
      </w:pPr>
    </w:p>
    <w:p w14:paraId="6FF2FDB7" w14:textId="4FF2B021" w:rsidR="003365BB" w:rsidRDefault="003365BB" w:rsidP="00311E73">
      <w:pPr>
        <w:jc w:val="both"/>
        <w:rPr>
          <w:color w:val="000000"/>
          <w:szCs w:val="20"/>
        </w:rPr>
      </w:pPr>
      <w:r>
        <w:rPr>
          <w:color w:val="000000"/>
          <w:szCs w:val="20"/>
        </w:rPr>
        <w:t xml:space="preserve">The Potential Provider grants the Authority a </w:t>
      </w:r>
      <w:proofErr w:type="spellStart"/>
      <w:r>
        <w:rPr>
          <w:color w:val="000000"/>
          <w:szCs w:val="20"/>
        </w:rPr>
        <w:t>non exclusive</w:t>
      </w:r>
      <w:proofErr w:type="spellEnd"/>
      <w:r>
        <w:rPr>
          <w:color w:val="000000"/>
          <w:szCs w:val="20"/>
        </w:rPr>
        <w:t xml:space="preserve">, irrevocable and perpetual licence to copy, reproduce </w:t>
      </w:r>
      <w:r w:rsidR="00C30DF3">
        <w:rPr>
          <w:color w:val="000000"/>
          <w:szCs w:val="20"/>
        </w:rPr>
        <w:t xml:space="preserve">and use </w:t>
      </w:r>
      <w:r>
        <w:rPr>
          <w:color w:val="000000"/>
          <w:szCs w:val="20"/>
        </w:rPr>
        <w:t>any intellectual property contained within its</w:t>
      </w:r>
      <w:r w:rsidR="001522E6">
        <w:rPr>
          <w:color w:val="000000"/>
          <w:szCs w:val="20"/>
        </w:rPr>
        <w:t xml:space="preserve"> PQQ/</w:t>
      </w:r>
      <w:r>
        <w:rPr>
          <w:color w:val="000000"/>
          <w:szCs w:val="20"/>
        </w:rPr>
        <w:t>Tender for the purposes of carrying out the evaluation of this tender and for entering into a contract (where applicable)</w:t>
      </w:r>
      <w:r w:rsidR="00864CC6">
        <w:rPr>
          <w:color w:val="000000"/>
          <w:szCs w:val="20"/>
        </w:rPr>
        <w:t>.</w:t>
      </w:r>
    </w:p>
    <w:p w14:paraId="57FC43A0" w14:textId="77777777" w:rsidR="00E16C26" w:rsidRDefault="00E16C26" w:rsidP="00311E73">
      <w:pPr>
        <w:jc w:val="both"/>
        <w:rPr>
          <w:color w:val="000000"/>
          <w:szCs w:val="20"/>
        </w:rPr>
      </w:pPr>
    </w:p>
    <w:p w14:paraId="03BB2B91" w14:textId="77777777" w:rsidR="00E16C26" w:rsidRPr="00D41E50" w:rsidRDefault="00E16C26" w:rsidP="00311E73">
      <w:pPr>
        <w:pStyle w:val="Heading1"/>
        <w:jc w:val="both"/>
      </w:pPr>
      <w:bookmarkStart w:id="19" w:name="_Toc25161487"/>
      <w:r w:rsidRPr="00D41E50">
        <w:lastRenderedPageBreak/>
        <w:t>Acknowledgement</w:t>
      </w:r>
      <w:bookmarkEnd w:id="19"/>
      <w:r w:rsidRPr="00D41E50">
        <w:t xml:space="preserve"> </w:t>
      </w:r>
    </w:p>
    <w:p w14:paraId="3E83165E" w14:textId="67C64534" w:rsidR="00E16C26" w:rsidRDefault="00E16C26" w:rsidP="00311E73">
      <w:pPr>
        <w:jc w:val="both"/>
        <w:rPr>
          <w:color w:val="000000"/>
          <w:szCs w:val="20"/>
        </w:rPr>
      </w:pPr>
      <w:r>
        <w:rPr>
          <w:color w:val="000000"/>
          <w:szCs w:val="20"/>
        </w:rPr>
        <w:t xml:space="preserve">Potential Providers should accept or decline the </w:t>
      </w:r>
      <w:r w:rsidR="001522E6">
        <w:rPr>
          <w:color w:val="000000"/>
          <w:szCs w:val="20"/>
        </w:rPr>
        <w:t>i</w:t>
      </w:r>
      <w:r>
        <w:rPr>
          <w:color w:val="000000"/>
          <w:szCs w:val="20"/>
        </w:rPr>
        <w:t xml:space="preserve">nvitation in Emptoris.  If declining </w:t>
      </w:r>
      <w:r w:rsidR="001522E6">
        <w:rPr>
          <w:color w:val="000000"/>
          <w:szCs w:val="20"/>
        </w:rPr>
        <w:t>to submit a response</w:t>
      </w:r>
      <w:r>
        <w:rPr>
          <w:color w:val="000000"/>
          <w:szCs w:val="20"/>
        </w:rPr>
        <w:t xml:space="preserve">, please provide an explanation as to the reasons. </w:t>
      </w:r>
    </w:p>
    <w:p w14:paraId="45FDF2EF" w14:textId="77777777" w:rsidR="00311D7F" w:rsidRPr="00D41E50" w:rsidRDefault="00311D7F" w:rsidP="00311E73">
      <w:pPr>
        <w:jc w:val="both"/>
        <w:rPr>
          <w:szCs w:val="20"/>
        </w:rPr>
      </w:pPr>
    </w:p>
    <w:p w14:paraId="3A5D8C0C" w14:textId="54370999" w:rsidR="00311D7F" w:rsidRPr="00D41E50" w:rsidRDefault="00311D7F" w:rsidP="00311E73">
      <w:pPr>
        <w:pStyle w:val="Heading1"/>
        <w:jc w:val="both"/>
      </w:pPr>
      <w:bookmarkStart w:id="20" w:name="_Toc25161488"/>
      <w:r w:rsidRPr="00D41E50">
        <w:t>Subcontractors/</w:t>
      </w:r>
      <w:r w:rsidR="00DA1044">
        <w:t>sub-s</w:t>
      </w:r>
      <w:r w:rsidRPr="00D41E50">
        <w:t>uppliers</w:t>
      </w:r>
      <w:bookmarkEnd w:id="20"/>
    </w:p>
    <w:p w14:paraId="31D27E4E" w14:textId="0B83871B" w:rsidR="00717456" w:rsidRDefault="00717456" w:rsidP="00311E73">
      <w:pPr>
        <w:jc w:val="both"/>
        <w:rPr>
          <w:szCs w:val="20"/>
        </w:rPr>
      </w:pPr>
      <w:r>
        <w:rPr>
          <w:szCs w:val="20"/>
        </w:rPr>
        <w:t xml:space="preserve">The Authority will not respond to any query directly from </w:t>
      </w:r>
      <w:r w:rsidR="008B2637">
        <w:rPr>
          <w:szCs w:val="20"/>
        </w:rPr>
        <w:t>yo</w:t>
      </w:r>
      <w:r w:rsidR="00DA1044">
        <w:rPr>
          <w:szCs w:val="20"/>
        </w:rPr>
        <w:t>ur s</w:t>
      </w:r>
      <w:r w:rsidR="008B2637">
        <w:rPr>
          <w:szCs w:val="20"/>
        </w:rPr>
        <w:t xml:space="preserve">ubcontractors or </w:t>
      </w:r>
      <w:r w:rsidR="00DA1044">
        <w:rPr>
          <w:szCs w:val="20"/>
        </w:rPr>
        <w:t>s</w:t>
      </w:r>
      <w:r w:rsidR="008B2637">
        <w:rPr>
          <w:szCs w:val="20"/>
        </w:rPr>
        <w:t>ub-suppliers</w:t>
      </w:r>
      <w:r>
        <w:rPr>
          <w:szCs w:val="20"/>
        </w:rPr>
        <w:t xml:space="preserve"> and you are responsible for ensuring they have sufficient information in respect of their potential </w:t>
      </w:r>
      <w:r w:rsidR="00864CC6">
        <w:rPr>
          <w:szCs w:val="20"/>
        </w:rPr>
        <w:t>s</w:t>
      </w:r>
      <w:r>
        <w:rPr>
          <w:szCs w:val="20"/>
        </w:rPr>
        <w:t>ubcontract.</w:t>
      </w:r>
    </w:p>
    <w:p w14:paraId="1AFBEB9B" w14:textId="77777777" w:rsidR="00311D7F" w:rsidRDefault="00311D7F" w:rsidP="00311E73">
      <w:pPr>
        <w:jc w:val="both"/>
        <w:rPr>
          <w:szCs w:val="20"/>
        </w:rPr>
      </w:pPr>
    </w:p>
    <w:p w14:paraId="393FA6E1" w14:textId="77777777" w:rsidR="00311D7F" w:rsidRPr="00D41E50" w:rsidRDefault="00311D7F" w:rsidP="00311E73">
      <w:pPr>
        <w:pStyle w:val="Heading1"/>
        <w:jc w:val="both"/>
      </w:pPr>
      <w:bookmarkStart w:id="21" w:name="_Toc25161489"/>
      <w:r w:rsidRPr="00D41E50">
        <w:t>Tender</w:t>
      </w:r>
      <w:r w:rsidR="00790FCD">
        <w:t xml:space="preserve"> Submissions</w:t>
      </w:r>
      <w:bookmarkEnd w:id="21"/>
    </w:p>
    <w:p w14:paraId="59F1E87E" w14:textId="77777777" w:rsidR="00E22599" w:rsidRPr="00E22599" w:rsidRDefault="00E22599" w:rsidP="00E22599">
      <w:pPr>
        <w:pStyle w:val="ListParagraph"/>
        <w:keepNext/>
        <w:numPr>
          <w:ilvl w:val="0"/>
          <w:numId w:val="25"/>
        </w:numPr>
        <w:jc w:val="both"/>
        <w:outlineLvl w:val="1"/>
        <w:rPr>
          <w:rFonts w:eastAsiaTheme="majorEastAsia" w:cstheme="majorBidi"/>
          <w:b/>
          <w:bCs/>
          <w:i/>
          <w:iCs/>
          <w:vanish/>
          <w:szCs w:val="28"/>
        </w:rPr>
      </w:pPr>
      <w:bookmarkStart w:id="22" w:name="_Toc466560570"/>
      <w:bookmarkStart w:id="23" w:name="_Toc473632716"/>
      <w:bookmarkStart w:id="24" w:name="_Toc473632748"/>
      <w:bookmarkStart w:id="25" w:name="_Toc5800143"/>
      <w:bookmarkStart w:id="26" w:name="_Toc5953025"/>
      <w:bookmarkStart w:id="27" w:name="_Toc5973509"/>
      <w:bookmarkStart w:id="28" w:name="_Toc25161490"/>
      <w:bookmarkEnd w:id="22"/>
      <w:bookmarkEnd w:id="23"/>
      <w:bookmarkEnd w:id="24"/>
      <w:bookmarkEnd w:id="25"/>
      <w:bookmarkEnd w:id="26"/>
      <w:bookmarkEnd w:id="27"/>
      <w:bookmarkEnd w:id="28"/>
    </w:p>
    <w:p w14:paraId="3071130D" w14:textId="77777777" w:rsidR="00E22599" w:rsidRPr="00E22599" w:rsidRDefault="00E22599" w:rsidP="00E22599">
      <w:pPr>
        <w:pStyle w:val="ListParagraph"/>
        <w:keepNext/>
        <w:numPr>
          <w:ilvl w:val="0"/>
          <w:numId w:val="25"/>
        </w:numPr>
        <w:jc w:val="both"/>
        <w:outlineLvl w:val="1"/>
        <w:rPr>
          <w:rFonts w:eastAsiaTheme="majorEastAsia" w:cstheme="majorBidi"/>
          <w:b/>
          <w:bCs/>
          <w:i/>
          <w:iCs/>
          <w:vanish/>
          <w:szCs w:val="28"/>
        </w:rPr>
      </w:pPr>
      <w:bookmarkStart w:id="29" w:name="_Toc466560571"/>
      <w:bookmarkStart w:id="30" w:name="_Toc473632717"/>
      <w:bookmarkStart w:id="31" w:name="_Toc473632749"/>
      <w:bookmarkStart w:id="32" w:name="_Toc5800144"/>
      <w:bookmarkStart w:id="33" w:name="_Toc5953026"/>
      <w:bookmarkStart w:id="34" w:name="_Toc5973510"/>
      <w:bookmarkStart w:id="35" w:name="_Toc25161491"/>
      <w:bookmarkEnd w:id="29"/>
      <w:bookmarkEnd w:id="30"/>
      <w:bookmarkEnd w:id="31"/>
      <w:bookmarkEnd w:id="32"/>
      <w:bookmarkEnd w:id="33"/>
      <w:bookmarkEnd w:id="34"/>
      <w:bookmarkEnd w:id="35"/>
    </w:p>
    <w:p w14:paraId="7CF49510" w14:textId="77777777" w:rsidR="00CB5017" w:rsidRDefault="00E22599" w:rsidP="00E22599">
      <w:pPr>
        <w:pStyle w:val="Heading2"/>
        <w:numPr>
          <w:ilvl w:val="1"/>
          <w:numId w:val="25"/>
        </w:numPr>
        <w:jc w:val="both"/>
      </w:pPr>
      <w:r>
        <w:t xml:space="preserve">  </w:t>
      </w:r>
      <w:bookmarkStart w:id="36" w:name="_Toc25161492"/>
      <w:r w:rsidR="00CB5017">
        <w:t>Language &amp; Currency</w:t>
      </w:r>
      <w:bookmarkEnd w:id="36"/>
    </w:p>
    <w:p w14:paraId="4E07819F" w14:textId="166E3F0B" w:rsidR="00D45EAE" w:rsidRDefault="00D45EAE" w:rsidP="00311E73">
      <w:pPr>
        <w:jc w:val="both"/>
        <w:rPr>
          <w:szCs w:val="20"/>
        </w:rPr>
      </w:pPr>
      <w:r w:rsidRPr="00D41E50">
        <w:rPr>
          <w:szCs w:val="20"/>
        </w:rPr>
        <w:t xml:space="preserve">The Tender and all communications relating to the </w:t>
      </w:r>
      <w:r w:rsidR="001522E6">
        <w:rPr>
          <w:szCs w:val="20"/>
        </w:rPr>
        <w:t>PQQ/Invitation to Tender</w:t>
      </w:r>
      <w:r w:rsidRPr="00D41E50">
        <w:rPr>
          <w:szCs w:val="20"/>
        </w:rPr>
        <w:t xml:space="preserve"> sh</w:t>
      </w:r>
      <w:r>
        <w:rPr>
          <w:szCs w:val="20"/>
        </w:rPr>
        <w:t>all be in the English language.</w:t>
      </w:r>
    </w:p>
    <w:p w14:paraId="11047F84" w14:textId="77777777" w:rsidR="00D45EAE" w:rsidRDefault="00D45EAE" w:rsidP="00311E73">
      <w:pPr>
        <w:jc w:val="both"/>
        <w:rPr>
          <w:szCs w:val="20"/>
        </w:rPr>
      </w:pPr>
    </w:p>
    <w:p w14:paraId="445BE2AC" w14:textId="77777777" w:rsidR="00D45EAE" w:rsidRPr="00D45EAE" w:rsidRDefault="00E22599" w:rsidP="008416BA">
      <w:pPr>
        <w:pStyle w:val="Heading2"/>
        <w:numPr>
          <w:ilvl w:val="1"/>
          <w:numId w:val="25"/>
        </w:numPr>
        <w:jc w:val="both"/>
      </w:pPr>
      <w:r>
        <w:t xml:space="preserve">  </w:t>
      </w:r>
      <w:bookmarkStart w:id="37" w:name="_Toc25161493"/>
      <w:r w:rsidR="00D45EAE">
        <w:t>Potential Providers Tender Commitment</w:t>
      </w:r>
      <w:bookmarkEnd w:id="37"/>
    </w:p>
    <w:p w14:paraId="1413C9B0" w14:textId="20BFCF5C" w:rsidR="00790FCD" w:rsidRPr="00C52664" w:rsidRDefault="00790FCD" w:rsidP="00311E73">
      <w:pPr>
        <w:jc w:val="both"/>
        <w:rPr>
          <w:szCs w:val="20"/>
        </w:rPr>
      </w:pPr>
      <w:r>
        <w:rPr>
          <w:szCs w:val="20"/>
        </w:rPr>
        <w:t xml:space="preserve">Potential Providers are </w:t>
      </w:r>
      <w:r w:rsidRPr="00D41E50">
        <w:rPr>
          <w:szCs w:val="20"/>
        </w:rPr>
        <w:t>deemed to have</w:t>
      </w:r>
      <w:r>
        <w:rPr>
          <w:szCs w:val="20"/>
        </w:rPr>
        <w:t xml:space="preserve"> satisfied </w:t>
      </w:r>
      <w:r w:rsidR="00FF3A8F">
        <w:rPr>
          <w:szCs w:val="20"/>
        </w:rPr>
        <w:t xml:space="preserve">and </w:t>
      </w:r>
      <w:r w:rsidRPr="00D41E50">
        <w:rPr>
          <w:szCs w:val="20"/>
        </w:rPr>
        <w:t xml:space="preserve">fully informed themselves as to the nature and extent of the requirement of this </w:t>
      </w:r>
      <w:r w:rsidR="001522E6">
        <w:rPr>
          <w:szCs w:val="20"/>
        </w:rPr>
        <w:t>procurement</w:t>
      </w:r>
      <w:r w:rsidR="00C52664">
        <w:rPr>
          <w:szCs w:val="20"/>
        </w:rPr>
        <w:t xml:space="preserve"> prior to submitting a </w:t>
      </w:r>
      <w:r w:rsidR="001522E6">
        <w:rPr>
          <w:szCs w:val="20"/>
        </w:rPr>
        <w:t>PQQ/</w:t>
      </w:r>
      <w:r w:rsidR="00864CC6">
        <w:rPr>
          <w:szCs w:val="20"/>
        </w:rPr>
        <w:t>Tender</w:t>
      </w:r>
      <w:r w:rsidR="00C52664" w:rsidRPr="00D41E50">
        <w:rPr>
          <w:szCs w:val="20"/>
        </w:rPr>
        <w:t xml:space="preserve"> </w:t>
      </w:r>
      <w:r w:rsidR="00C52664">
        <w:rPr>
          <w:szCs w:val="20"/>
        </w:rPr>
        <w:t xml:space="preserve">including in respect of </w:t>
      </w:r>
      <w:r w:rsidR="00C52664" w:rsidRPr="00D41E50">
        <w:rPr>
          <w:szCs w:val="20"/>
        </w:rPr>
        <w:t>all regulations, bye-laws, site conditions and all other factor</w:t>
      </w:r>
      <w:r w:rsidR="003F6616">
        <w:rPr>
          <w:szCs w:val="20"/>
        </w:rPr>
        <w:t xml:space="preserve">s which may affect their </w:t>
      </w:r>
      <w:r w:rsidR="00864CC6">
        <w:rPr>
          <w:szCs w:val="20"/>
        </w:rPr>
        <w:t>Tender</w:t>
      </w:r>
      <w:r w:rsidR="00C52664">
        <w:rPr>
          <w:szCs w:val="20"/>
        </w:rPr>
        <w:t xml:space="preserve">. </w:t>
      </w:r>
    </w:p>
    <w:p w14:paraId="562D1950" w14:textId="77777777" w:rsidR="00335060" w:rsidRDefault="00335060" w:rsidP="00311E73">
      <w:pPr>
        <w:jc w:val="both"/>
        <w:rPr>
          <w:szCs w:val="20"/>
        </w:rPr>
      </w:pPr>
    </w:p>
    <w:p w14:paraId="1B30EAA1" w14:textId="74844840" w:rsidR="00335060" w:rsidRPr="00D41E50" w:rsidRDefault="00C52664" w:rsidP="00311E73">
      <w:pPr>
        <w:jc w:val="both"/>
        <w:rPr>
          <w:szCs w:val="20"/>
        </w:rPr>
      </w:pPr>
      <w:r>
        <w:rPr>
          <w:szCs w:val="20"/>
        </w:rPr>
        <w:t>Potential Providers</w:t>
      </w:r>
      <w:r w:rsidR="00335060" w:rsidRPr="00D41E50">
        <w:rPr>
          <w:szCs w:val="20"/>
        </w:rPr>
        <w:t xml:space="preserve"> shall bear all costs and expenses incurred by them in the prepa</w:t>
      </w:r>
      <w:r>
        <w:rPr>
          <w:szCs w:val="20"/>
        </w:rPr>
        <w:t xml:space="preserve">ration and submission of their </w:t>
      </w:r>
      <w:r w:rsidR="001522E6">
        <w:rPr>
          <w:szCs w:val="20"/>
        </w:rPr>
        <w:t>PQQ/</w:t>
      </w:r>
      <w:r w:rsidR="00864CC6">
        <w:rPr>
          <w:szCs w:val="20"/>
        </w:rPr>
        <w:t>Tender</w:t>
      </w:r>
      <w:r w:rsidR="00335060" w:rsidRPr="00D41E50">
        <w:rPr>
          <w:szCs w:val="20"/>
        </w:rPr>
        <w:t>, including the attendance at any Pre or Post Tender Meetings, site visits or negotiations.</w:t>
      </w:r>
    </w:p>
    <w:p w14:paraId="3EA5F0CA" w14:textId="77777777" w:rsidR="00E16C26" w:rsidRDefault="00E16C26" w:rsidP="00311E73">
      <w:pPr>
        <w:jc w:val="both"/>
        <w:rPr>
          <w:szCs w:val="20"/>
        </w:rPr>
      </w:pPr>
    </w:p>
    <w:p w14:paraId="7F13481A" w14:textId="77777777" w:rsidR="00D45EAE" w:rsidRDefault="00D45EAE" w:rsidP="00311E73">
      <w:pPr>
        <w:jc w:val="both"/>
        <w:rPr>
          <w:color w:val="000000"/>
          <w:szCs w:val="20"/>
        </w:rPr>
      </w:pPr>
      <w:r>
        <w:rPr>
          <w:color w:val="000000"/>
          <w:szCs w:val="20"/>
        </w:rPr>
        <w:t xml:space="preserve">All Potential Providers are responsible for identifying any information of a proprietary or confidential nature within their response in order that it may be handled properly.  </w:t>
      </w:r>
    </w:p>
    <w:p w14:paraId="21C1FBAB" w14:textId="77777777" w:rsidR="001B736E" w:rsidRPr="00CB5017" w:rsidRDefault="001B736E" w:rsidP="00311E73">
      <w:pPr>
        <w:jc w:val="both"/>
        <w:rPr>
          <w:color w:val="000000"/>
          <w:szCs w:val="20"/>
        </w:rPr>
      </w:pPr>
    </w:p>
    <w:p w14:paraId="29E08A17" w14:textId="77777777" w:rsidR="00D45EAE" w:rsidRPr="00D41E50" w:rsidRDefault="00E22599" w:rsidP="008416BA">
      <w:pPr>
        <w:pStyle w:val="Heading2"/>
        <w:numPr>
          <w:ilvl w:val="1"/>
          <w:numId w:val="25"/>
        </w:numPr>
        <w:jc w:val="both"/>
      </w:pPr>
      <w:r>
        <w:t xml:space="preserve">  </w:t>
      </w:r>
      <w:bookmarkStart w:id="38" w:name="_Toc25161494"/>
      <w:r w:rsidR="00D45EAE">
        <w:t>Compliant Tenders</w:t>
      </w:r>
      <w:bookmarkEnd w:id="38"/>
    </w:p>
    <w:p w14:paraId="261E6C53" w14:textId="4C1D3200" w:rsidR="00186139" w:rsidRDefault="00D45EAE" w:rsidP="00311E73">
      <w:pPr>
        <w:jc w:val="both"/>
        <w:rPr>
          <w:szCs w:val="20"/>
        </w:rPr>
      </w:pPr>
      <w:r>
        <w:rPr>
          <w:szCs w:val="20"/>
        </w:rPr>
        <w:t>All requested fields, questions and attachments should be provided by th</w:t>
      </w:r>
      <w:r w:rsidR="00A36E2C">
        <w:rPr>
          <w:szCs w:val="20"/>
        </w:rPr>
        <w:t>e Potential Provider.  N</w:t>
      </w:r>
      <w:r>
        <w:rPr>
          <w:szCs w:val="20"/>
        </w:rPr>
        <w:t xml:space="preserve">o additional </w:t>
      </w:r>
      <w:r w:rsidR="00864CC6">
        <w:rPr>
          <w:szCs w:val="20"/>
        </w:rPr>
        <w:t>a</w:t>
      </w:r>
      <w:r>
        <w:rPr>
          <w:szCs w:val="20"/>
        </w:rPr>
        <w:t xml:space="preserve">ttachments should be provided unless specifically requested by the Authority.  </w:t>
      </w:r>
      <w:r w:rsidR="00C26413">
        <w:rPr>
          <w:szCs w:val="20"/>
        </w:rPr>
        <w:t>[Do not answer questions by cross referri</w:t>
      </w:r>
      <w:r w:rsidR="00A83781">
        <w:rPr>
          <w:szCs w:val="20"/>
        </w:rPr>
        <w:t xml:space="preserve">ng to other answers or to other documents]. </w:t>
      </w:r>
      <w:r w:rsidR="00FF3A8F">
        <w:rPr>
          <w:szCs w:val="20"/>
        </w:rPr>
        <w:t>Please check the accuracy of your response</w:t>
      </w:r>
      <w:r w:rsidR="00790FCD" w:rsidRPr="00D41E50">
        <w:rPr>
          <w:szCs w:val="20"/>
        </w:rPr>
        <w:t xml:space="preserve"> prior to </w:t>
      </w:r>
      <w:r w:rsidR="00FF3A8F">
        <w:rPr>
          <w:szCs w:val="20"/>
        </w:rPr>
        <w:t xml:space="preserve">tender </w:t>
      </w:r>
      <w:r w:rsidR="00790FCD" w:rsidRPr="00D41E50">
        <w:rPr>
          <w:szCs w:val="20"/>
        </w:rPr>
        <w:t xml:space="preserve">submission.  </w:t>
      </w:r>
      <w:r w:rsidR="00FF3A8F">
        <w:rPr>
          <w:szCs w:val="20"/>
        </w:rPr>
        <w:t>C</w:t>
      </w:r>
      <w:r w:rsidR="00790FCD" w:rsidRPr="00D41E50">
        <w:rPr>
          <w:szCs w:val="20"/>
        </w:rPr>
        <w:t>lerical</w:t>
      </w:r>
      <w:r w:rsidR="00FF3A8F">
        <w:rPr>
          <w:szCs w:val="20"/>
        </w:rPr>
        <w:t xml:space="preserve"> or mathematical</w:t>
      </w:r>
      <w:r w:rsidR="00790FCD" w:rsidRPr="00D41E50">
        <w:rPr>
          <w:szCs w:val="20"/>
        </w:rPr>
        <w:t xml:space="preserve"> errors may, at the sole discretion</w:t>
      </w:r>
      <w:r w:rsidR="00FF3A8F">
        <w:rPr>
          <w:szCs w:val="20"/>
        </w:rPr>
        <w:t xml:space="preserve"> of the Authority</w:t>
      </w:r>
      <w:r w:rsidR="00790FCD" w:rsidRPr="00D41E50">
        <w:rPr>
          <w:szCs w:val="20"/>
        </w:rPr>
        <w:t xml:space="preserve">, </w:t>
      </w:r>
      <w:r w:rsidR="003F6616">
        <w:rPr>
          <w:szCs w:val="20"/>
        </w:rPr>
        <w:t>be referred back to the Potential Provider</w:t>
      </w:r>
      <w:r w:rsidR="00790FCD" w:rsidRPr="00D41E50">
        <w:rPr>
          <w:szCs w:val="20"/>
        </w:rPr>
        <w:t xml:space="preserve"> for correction.</w:t>
      </w:r>
    </w:p>
    <w:p w14:paraId="782E6911" w14:textId="77777777" w:rsidR="003F6616" w:rsidRDefault="003F6616" w:rsidP="00311E73">
      <w:pPr>
        <w:jc w:val="both"/>
        <w:rPr>
          <w:szCs w:val="20"/>
        </w:rPr>
      </w:pPr>
    </w:p>
    <w:p w14:paraId="2781A4DE" w14:textId="3944EF3A" w:rsidR="003F6616" w:rsidRDefault="003F6616" w:rsidP="00311E73">
      <w:pPr>
        <w:jc w:val="both"/>
        <w:rPr>
          <w:szCs w:val="20"/>
        </w:rPr>
      </w:pPr>
      <w:proofErr w:type="spellStart"/>
      <w:r>
        <w:rPr>
          <w:szCs w:val="20"/>
        </w:rPr>
        <w:t>Non compliant</w:t>
      </w:r>
      <w:proofErr w:type="spellEnd"/>
      <w:r>
        <w:rPr>
          <w:szCs w:val="20"/>
        </w:rPr>
        <w:t xml:space="preserve"> </w:t>
      </w:r>
      <w:r w:rsidR="001522E6">
        <w:rPr>
          <w:szCs w:val="20"/>
        </w:rPr>
        <w:t>PQQs/T</w:t>
      </w:r>
      <w:r>
        <w:rPr>
          <w:szCs w:val="20"/>
        </w:rPr>
        <w:t>enders, at the sole discretion of the Authority, may be rejected and may not be included in any evaluation.  Any tenders that are submitted where questions, bid fields or requested information</w:t>
      </w:r>
      <w:r w:rsidR="009C3743">
        <w:rPr>
          <w:szCs w:val="20"/>
        </w:rPr>
        <w:t xml:space="preserve"> are</w:t>
      </w:r>
      <w:r>
        <w:rPr>
          <w:szCs w:val="20"/>
        </w:rPr>
        <w:t xml:space="preserve"> incomplete</w:t>
      </w:r>
      <w:r w:rsidR="009C3743">
        <w:rPr>
          <w:szCs w:val="20"/>
        </w:rPr>
        <w:t xml:space="preserve"> or where a tender is qualified</w:t>
      </w:r>
      <w:r>
        <w:rPr>
          <w:szCs w:val="20"/>
        </w:rPr>
        <w:t>, may be deemed to be non</w:t>
      </w:r>
      <w:r w:rsidR="001522E6">
        <w:rPr>
          <w:szCs w:val="20"/>
        </w:rPr>
        <w:t>-</w:t>
      </w:r>
      <w:r>
        <w:rPr>
          <w:szCs w:val="20"/>
        </w:rPr>
        <w:t>compliant and may not be considered in the evaluation.</w:t>
      </w:r>
    </w:p>
    <w:p w14:paraId="339E9D82" w14:textId="77777777" w:rsidR="00186139" w:rsidRDefault="00186139" w:rsidP="00311E73">
      <w:pPr>
        <w:jc w:val="both"/>
        <w:rPr>
          <w:szCs w:val="20"/>
        </w:rPr>
      </w:pPr>
    </w:p>
    <w:p w14:paraId="31E80D53" w14:textId="70081082" w:rsidR="003D53BD" w:rsidRPr="003F30E1" w:rsidRDefault="00186139" w:rsidP="003D53BD">
      <w:pPr>
        <w:jc w:val="both"/>
      </w:pPr>
      <w:r>
        <w:rPr>
          <w:szCs w:val="20"/>
        </w:rPr>
        <w:t xml:space="preserve">For details on </w:t>
      </w:r>
      <w:r w:rsidR="00570A85">
        <w:rPr>
          <w:szCs w:val="20"/>
        </w:rPr>
        <w:t xml:space="preserve">using Emptoris, please </w:t>
      </w:r>
      <w:r w:rsidR="0043169E">
        <w:rPr>
          <w:szCs w:val="20"/>
        </w:rPr>
        <w:t xml:space="preserve">see </w:t>
      </w:r>
      <w:r w:rsidR="003D53BD">
        <w:rPr>
          <w:szCs w:val="20"/>
        </w:rPr>
        <w:t xml:space="preserve">the Supplier User Guide here: </w:t>
      </w:r>
      <w:hyperlink r:id="rId18" w:history="1">
        <w:r w:rsidR="003D53BD" w:rsidRPr="00CB5064">
          <w:rPr>
            <w:rStyle w:val="Hyperlink"/>
            <w:rFonts w:ascii="Calibri" w:hAnsi="Calibri"/>
            <w:szCs w:val="20"/>
          </w:rPr>
          <w:t>https://www-05.ibm.com/e-business/linkweb/publications/servlet/pbi.wss?SSN=17BII0001886419163&amp;FNC=PBL&amp;PBL=SC27-4796-00PBCEONLP00061890&amp;TRL=TXTSRH#</w:t>
        </w:r>
      </w:hyperlink>
      <w:r w:rsidR="003D53BD">
        <w:rPr>
          <w:rStyle w:val="Hyperlink"/>
          <w:rFonts w:ascii="Calibri" w:hAnsi="Calibri"/>
          <w:szCs w:val="20"/>
        </w:rPr>
        <w:t xml:space="preserve"> </w:t>
      </w:r>
      <w:r w:rsidR="00B65AAF">
        <w:rPr>
          <w:rStyle w:val="Hyperlink"/>
          <w:rFonts w:ascii="Calibri" w:hAnsi="Calibri"/>
          <w:szCs w:val="20"/>
        </w:rPr>
        <w:t xml:space="preserve">If you still have a query please contact the </w:t>
      </w:r>
      <w:proofErr w:type="spellStart"/>
      <w:r w:rsidR="00B65AAF">
        <w:rPr>
          <w:rStyle w:val="Hyperlink"/>
          <w:rFonts w:ascii="Calibri" w:hAnsi="Calibri"/>
          <w:szCs w:val="20"/>
        </w:rPr>
        <w:t>RFx</w:t>
      </w:r>
      <w:proofErr w:type="spellEnd"/>
      <w:r w:rsidR="00B65AAF">
        <w:rPr>
          <w:rStyle w:val="Hyperlink"/>
          <w:rFonts w:ascii="Calibri" w:hAnsi="Calibri"/>
          <w:szCs w:val="20"/>
        </w:rPr>
        <w:t xml:space="preserve"> lead for further information. </w:t>
      </w:r>
    </w:p>
    <w:p w14:paraId="670D5B4B" w14:textId="7E86C021" w:rsidR="00FF3A8F" w:rsidRDefault="00FF3A8F" w:rsidP="00311E73">
      <w:pPr>
        <w:jc w:val="both"/>
        <w:rPr>
          <w:szCs w:val="20"/>
        </w:rPr>
      </w:pPr>
    </w:p>
    <w:p w14:paraId="067428A3" w14:textId="77777777" w:rsidR="00A36E2C" w:rsidRDefault="00A36E2C" w:rsidP="00311E73">
      <w:pPr>
        <w:jc w:val="both"/>
        <w:rPr>
          <w:szCs w:val="20"/>
        </w:rPr>
      </w:pPr>
    </w:p>
    <w:p w14:paraId="3147A745" w14:textId="77777777" w:rsidR="00D45EAE" w:rsidRDefault="00E22599" w:rsidP="008416BA">
      <w:pPr>
        <w:pStyle w:val="Heading2"/>
        <w:numPr>
          <w:ilvl w:val="1"/>
          <w:numId w:val="25"/>
        </w:numPr>
        <w:jc w:val="both"/>
      </w:pPr>
      <w:r>
        <w:t xml:space="preserve">  </w:t>
      </w:r>
      <w:bookmarkStart w:id="39" w:name="_Toc25161495"/>
      <w:r w:rsidR="00D45EAE">
        <w:t>Tender Closing</w:t>
      </w:r>
      <w:bookmarkEnd w:id="39"/>
    </w:p>
    <w:p w14:paraId="24E8C26F" w14:textId="4F26BBF5" w:rsidR="00EE686C" w:rsidRDefault="00FF3A8F" w:rsidP="00311E73">
      <w:pPr>
        <w:jc w:val="both"/>
        <w:rPr>
          <w:szCs w:val="20"/>
        </w:rPr>
      </w:pPr>
      <w:r>
        <w:rPr>
          <w:szCs w:val="20"/>
        </w:rPr>
        <w:t>The tender closing time and date withi</w:t>
      </w:r>
      <w:r w:rsidR="009C3743">
        <w:rPr>
          <w:szCs w:val="20"/>
        </w:rPr>
        <w:t xml:space="preserve">n Emptoris </w:t>
      </w:r>
      <w:r w:rsidR="00864CC6">
        <w:rPr>
          <w:szCs w:val="20"/>
        </w:rPr>
        <w:t xml:space="preserve">is </w:t>
      </w:r>
      <w:r w:rsidR="009C3743">
        <w:rPr>
          <w:szCs w:val="20"/>
        </w:rPr>
        <w:t xml:space="preserve">fixed and firm.  </w:t>
      </w:r>
    </w:p>
    <w:p w14:paraId="1077D0ED" w14:textId="77777777" w:rsidR="00EE686C" w:rsidRDefault="00EE686C" w:rsidP="00311E73">
      <w:pPr>
        <w:jc w:val="both"/>
        <w:rPr>
          <w:szCs w:val="20"/>
        </w:rPr>
      </w:pPr>
    </w:p>
    <w:p w14:paraId="5F96DB34" w14:textId="68439CD2" w:rsidR="00EE686C" w:rsidRPr="002706D7" w:rsidRDefault="00FF3A8F" w:rsidP="00311E73">
      <w:pPr>
        <w:jc w:val="both"/>
        <w:rPr>
          <w:caps/>
          <w:szCs w:val="20"/>
        </w:rPr>
      </w:pPr>
      <w:r w:rsidRPr="002706D7">
        <w:rPr>
          <w:caps/>
          <w:szCs w:val="20"/>
        </w:rPr>
        <w:t xml:space="preserve">In the event that a </w:t>
      </w:r>
      <w:r w:rsidR="00124047">
        <w:rPr>
          <w:caps/>
          <w:szCs w:val="20"/>
        </w:rPr>
        <w:t>PQQ/</w:t>
      </w:r>
      <w:r w:rsidRPr="002706D7">
        <w:rPr>
          <w:caps/>
          <w:szCs w:val="20"/>
        </w:rPr>
        <w:t xml:space="preserve">tender submission is late, the Authority will not accept the late tender submission.  </w:t>
      </w:r>
    </w:p>
    <w:p w14:paraId="39644231" w14:textId="77777777" w:rsidR="00EE686C" w:rsidRDefault="00EE686C" w:rsidP="00311E73">
      <w:pPr>
        <w:jc w:val="both"/>
        <w:rPr>
          <w:szCs w:val="20"/>
        </w:rPr>
      </w:pPr>
    </w:p>
    <w:p w14:paraId="564C25A5" w14:textId="77777777" w:rsidR="00FF3A8F" w:rsidRDefault="00335060" w:rsidP="00311E73">
      <w:pPr>
        <w:jc w:val="both"/>
        <w:rPr>
          <w:szCs w:val="20"/>
        </w:rPr>
      </w:pPr>
      <w:r>
        <w:rPr>
          <w:szCs w:val="20"/>
        </w:rPr>
        <w:t xml:space="preserve">All responses in “draft” in the system will be automatically submitted at the deadline to the Authority. </w:t>
      </w:r>
      <w:r w:rsidR="00186139">
        <w:rPr>
          <w:szCs w:val="20"/>
        </w:rPr>
        <w:t>Please ensure that you prepare and complete your tender in the Emptoris system in sufficient time prior to the submission deadline</w:t>
      </w:r>
      <w:r w:rsidR="009C3743">
        <w:rPr>
          <w:szCs w:val="20"/>
        </w:rPr>
        <w:t>, including time for uploading</w:t>
      </w:r>
      <w:r w:rsidR="00186139">
        <w:rPr>
          <w:szCs w:val="20"/>
        </w:rPr>
        <w:t>.</w:t>
      </w:r>
      <w:r w:rsidR="009C3743">
        <w:rPr>
          <w:szCs w:val="20"/>
        </w:rPr>
        <w:t xml:space="preserve">  The Authority accepts no responsibility for the late submission of any tenders.</w:t>
      </w:r>
      <w:r w:rsidR="00186139">
        <w:rPr>
          <w:szCs w:val="20"/>
        </w:rPr>
        <w:t xml:space="preserve">  </w:t>
      </w:r>
    </w:p>
    <w:p w14:paraId="424D0E99" w14:textId="77777777" w:rsidR="00335060" w:rsidRDefault="00335060" w:rsidP="00311E73">
      <w:pPr>
        <w:jc w:val="both"/>
        <w:rPr>
          <w:szCs w:val="20"/>
        </w:rPr>
      </w:pPr>
    </w:p>
    <w:p w14:paraId="28152595" w14:textId="77777777" w:rsidR="007B60BD" w:rsidRDefault="007B60BD" w:rsidP="00311E73">
      <w:pPr>
        <w:jc w:val="both"/>
        <w:rPr>
          <w:szCs w:val="20"/>
        </w:rPr>
      </w:pPr>
    </w:p>
    <w:p w14:paraId="4E4F9E11" w14:textId="0386CEFA" w:rsidR="005D0FF0" w:rsidRDefault="007B60BD" w:rsidP="00311E73">
      <w:pPr>
        <w:jc w:val="both"/>
        <w:rPr>
          <w:szCs w:val="20"/>
        </w:rPr>
      </w:pPr>
      <w:r>
        <w:rPr>
          <w:szCs w:val="20"/>
        </w:rPr>
        <w:t xml:space="preserve">Once a </w:t>
      </w:r>
      <w:r w:rsidR="00124047">
        <w:rPr>
          <w:szCs w:val="20"/>
        </w:rPr>
        <w:t>PQQ/</w:t>
      </w:r>
      <w:r w:rsidR="00864CC6">
        <w:rPr>
          <w:szCs w:val="20"/>
        </w:rPr>
        <w:t>Tender</w:t>
      </w:r>
      <w:r>
        <w:rPr>
          <w:szCs w:val="20"/>
        </w:rPr>
        <w:t xml:space="preserve"> is submitted, it is deemed to have been submitted on behalf of the Potential Provider by a person authorised to commit the Potential Provider to the </w:t>
      </w:r>
      <w:r w:rsidR="00124047">
        <w:rPr>
          <w:szCs w:val="20"/>
        </w:rPr>
        <w:t>PQQ/</w:t>
      </w:r>
      <w:r w:rsidR="00864CC6">
        <w:rPr>
          <w:szCs w:val="20"/>
        </w:rPr>
        <w:t>Tender</w:t>
      </w:r>
      <w:r>
        <w:rPr>
          <w:szCs w:val="20"/>
        </w:rPr>
        <w:t xml:space="preserve"> submission</w:t>
      </w:r>
      <w:r w:rsidR="009C3743">
        <w:rPr>
          <w:szCs w:val="20"/>
        </w:rPr>
        <w:t xml:space="preserve"> and submissions cannot be modified after the tender closing time.</w:t>
      </w:r>
    </w:p>
    <w:p w14:paraId="5F6FE351" w14:textId="77777777" w:rsidR="00A36E2C" w:rsidRPr="00D41E50" w:rsidRDefault="00A36E2C" w:rsidP="00311E73">
      <w:pPr>
        <w:jc w:val="both"/>
        <w:rPr>
          <w:szCs w:val="20"/>
        </w:rPr>
      </w:pPr>
    </w:p>
    <w:p w14:paraId="62707EE7" w14:textId="77777777" w:rsidR="00311D7F" w:rsidRPr="00D41E50" w:rsidRDefault="00E22599" w:rsidP="008416BA">
      <w:pPr>
        <w:pStyle w:val="Heading2"/>
        <w:numPr>
          <w:ilvl w:val="1"/>
          <w:numId w:val="25"/>
        </w:numPr>
        <w:jc w:val="both"/>
      </w:pPr>
      <w:r>
        <w:t xml:space="preserve">  </w:t>
      </w:r>
      <w:bookmarkStart w:id="40" w:name="_Toc25161496"/>
      <w:r w:rsidR="00311D7F" w:rsidRPr="00D41E50">
        <w:t>Alternative Tender</w:t>
      </w:r>
      <w:r w:rsidR="007B60BD">
        <w:t>s</w:t>
      </w:r>
      <w:bookmarkEnd w:id="40"/>
    </w:p>
    <w:p w14:paraId="10C15404" w14:textId="1962E328" w:rsidR="00311D7F" w:rsidRDefault="00BA18B8" w:rsidP="00311E73">
      <w:pPr>
        <w:jc w:val="both"/>
        <w:rPr>
          <w:szCs w:val="20"/>
        </w:rPr>
      </w:pPr>
      <w:r>
        <w:rPr>
          <w:szCs w:val="20"/>
        </w:rPr>
        <w:t xml:space="preserve">The Potential Providers are required to submit a </w:t>
      </w:r>
      <w:r w:rsidR="00864CC6">
        <w:rPr>
          <w:szCs w:val="20"/>
        </w:rPr>
        <w:t>Tender</w:t>
      </w:r>
      <w:r>
        <w:rPr>
          <w:szCs w:val="20"/>
        </w:rPr>
        <w:t xml:space="preserve">, which complies with the requirements of this Invitation to Tender, but are welcome to provide </w:t>
      </w:r>
      <w:r w:rsidR="00314F57">
        <w:rPr>
          <w:szCs w:val="20"/>
        </w:rPr>
        <w:t xml:space="preserve">additional </w:t>
      </w:r>
      <w:r>
        <w:rPr>
          <w:szCs w:val="20"/>
        </w:rPr>
        <w:t xml:space="preserve">alternative tenders.  The Authority is under no obligation to evaluate alternative tenders, but if electing to do so, the Authority will evaluate the alternative tenders in the same way as compliant tenders.  Potential Providers must answer questions and questionnaires fully for both alternative and compliant tenders, so that alternatives can evaluated. </w:t>
      </w:r>
    </w:p>
    <w:p w14:paraId="5619A7FD" w14:textId="77777777" w:rsidR="00314F57" w:rsidRDefault="00314F57" w:rsidP="00311E73">
      <w:pPr>
        <w:jc w:val="both"/>
        <w:rPr>
          <w:szCs w:val="20"/>
        </w:rPr>
      </w:pPr>
    </w:p>
    <w:p w14:paraId="314E66E2" w14:textId="0595D6DC" w:rsidR="00314F57" w:rsidRDefault="00314F57" w:rsidP="00311E73">
      <w:pPr>
        <w:jc w:val="both"/>
        <w:rPr>
          <w:szCs w:val="20"/>
        </w:rPr>
      </w:pPr>
      <w:r>
        <w:rPr>
          <w:szCs w:val="20"/>
        </w:rPr>
        <w:t xml:space="preserve">An alternative </w:t>
      </w:r>
      <w:r w:rsidR="00864CC6">
        <w:rPr>
          <w:szCs w:val="20"/>
        </w:rPr>
        <w:t>Tender</w:t>
      </w:r>
      <w:r>
        <w:rPr>
          <w:szCs w:val="20"/>
        </w:rPr>
        <w:t xml:space="preserve"> is not able to be evaluated unless the Potential Provider has also submitted a fully compliant </w:t>
      </w:r>
      <w:r w:rsidR="00864CC6">
        <w:rPr>
          <w:szCs w:val="20"/>
        </w:rPr>
        <w:t>Tender</w:t>
      </w:r>
      <w:r>
        <w:rPr>
          <w:szCs w:val="20"/>
        </w:rPr>
        <w:t xml:space="preserve">.  </w:t>
      </w:r>
    </w:p>
    <w:p w14:paraId="07CAA4C0" w14:textId="77777777" w:rsidR="00A36E2C" w:rsidRPr="009C3743" w:rsidRDefault="00A36E2C" w:rsidP="00311E73">
      <w:pPr>
        <w:jc w:val="both"/>
        <w:rPr>
          <w:szCs w:val="20"/>
        </w:rPr>
      </w:pPr>
    </w:p>
    <w:p w14:paraId="041F18C5" w14:textId="77777777" w:rsidR="00311D7F" w:rsidRDefault="00E22599" w:rsidP="008416BA">
      <w:pPr>
        <w:pStyle w:val="Heading2"/>
        <w:numPr>
          <w:ilvl w:val="1"/>
          <w:numId w:val="25"/>
        </w:numPr>
        <w:jc w:val="both"/>
      </w:pPr>
      <w:r>
        <w:t xml:space="preserve">  </w:t>
      </w:r>
      <w:bookmarkStart w:id="41" w:name="_Toc25161497"/>
      <w:r w:rsidR="00311D7F" w:rsidRPr="00D41E50">
        <w:t xml:space="preserve">Cancellation </w:t>
      </w:r>
      <w:r w:rsidR="00A413C9">
        <w:t>or Amendment to</w:t>
      </w:r>
      <w:r w:rsidR="00311D7F" w:rsidRPr="00D41E50">
        <w:t xml:space="preserve"> the Invitation to Tender</w:t>
      </w:r>
      <w:bookmarkEnd w:id="41"/>
    </w:p>
    <w:p w14:paraId="1ABA031E" w14:textId="77777777" w:rsidR="001C0AD8" w:rsidRDefault="00A413C9" w:rsidP="001C0AD8">
      <w:pPr>
        <w:jc w:val="both"/>
        <w:rPr>
          <w:szCs w:val="20"/>
        </w:rPr>
      </w:pPr>
      <w:r>
        <w:rPr>
          <w:szCs w:val="20"/>
        </w:rPr>
        <w:t>The Authority reserves the right to cancel or amend the Invitation to Tender</w:t>
      </w:r>
      <w:r w:rsidR="00314F57">
        <w:rPr>
          <w:szCs w:val="20"/>
        </w:rPr>
        <w:t>, or abandon the procurement in part or entirely,</w:t>
      </w:r>
      <w:r>
        <w:rPr>
          <w:szCs w:val="20"/>
        </w:rPr>
        <w:t xml:space="preserve"> at any time for any reason.</w:t>
      </w:r>
    </w:p>
    <w:p w14:paraId="0CD884BB" w14:textId="77777777" w:rsidR="001C0AD8" w:rsidRDefault="001C0AD8" w:rsidP="001C0AD8">
      <w:pPr>
        <w:jc w:val="both"/>
        <w:rPr>
          <w:szCs w:val="20"/>
        </w:rPr>
      </w:pPr>
    </w:p>
    <w:p w14:paraId="6E10FAFD" w14:textId="17086E08" w:rsidR="001C0AD8" w:rsidRDefault="00374DDF" w:rsidP="002706D7">
      <w:pPr>
        <w:pStyle w:val="Heading1"/>
        <w:jc w:val="both"/>
      </w:pPr>
      <w:bookmarkStart w:id="42" w:name="_Toc25161498"/>
      <w:r>
        <w:t>Procurement Timetable</w:t>
      </w:r>
      <w:bookmarkEnd w:id="42"/>
    </w:p>
    <w:p w14:paraId="306DC296" w14:textId="77777777" w:rsidR="00E64FA6" w:rsidRDefault="00E64FA6" w:rsidP="0004667B">
      <w:pPr>
        <w:jc w:val="both"/>
      </w:pPr>
    </w:p>
    <w:tbl>
      <w:tblPr>
        <w:tblStyle w:val="TableGrid"/>
        <w:tblW w:w="0" w:type="auto"/>
        <w:tblLook w:val="04A0" w:firstRow="1" w:lastRow="0" w:firstColumn="1" w:lastColumn="0" w:noHBand="0" w:noVBand="1"/>
      </w:tblPr>
      <w:tblGrid>
        <w:gridCol w:w="4445"/>
        <w:gridCol w:w="3851"/>
      </w:tblGrid>
      <w:tr w:rsidR="00D336D8" w:rsidRPr="00E64FA6" w14:paraId="15BBB6A2" w14:textId="77777777" w:rsidTr="00124047">
        <w:tc>
          <w:tcPr>
            <w:tcW w:w="4445" w:type="dxa"/>
          </w:tcPr>
          <w:p w14:paraId="275A03FC" w14:textId="5D5A1CE5" w:rsidR="00D336D8" w:rsidRPr="00E64FA6" w:rsidRDefault="00D336D8" w:rsidP="00EC669F">
            <w:pPr>
              <w:jc w:val="both"/>
              <w:rPr>
                <w:b/>
              </w:rPr>
            </w:pPr>
            <w:r w:rsidRPr="00E64FA6">
              <w:rPr>
                <w:b/>
              </w:rPr>
              <w:t>Event</w:t>
            </w:r>
          </w:p>
        </w:tc>
        <w:tc>
          <w:tcPr>
            <w:tcW w:w="3851" w:type="dxa"/>
          </w:tcPr>
          <w:p w14:paraId="4357AE04" w14:textId="36FAE629" w:rsidR="00D336D8" w:rsidRPr="00E64FA6" w:rsidRDefault="00D336D8" w:rsidP="00EC669F">
            <w:pPr>
              <w:jc w:val="both"/>
              <w:rPr>
                <w:b/>
              </w:rPr>
            </w:pPr>
            <w:r w:rsidRPr="00E64FA6">
              <w:rPr>
                <w:b/>
              </w:rPr>
              <w:t>Estimated Date or Date Range</w:t>
            </w:r>
          </w:p>
        </w:tc>
      </w:tr>
      <w:tr w:rsidR="00D336D8" w:rsidRPr="00D336D8" w14:paraId="0B51A78B" w14:textId="12D23C35" w:rsidTr="00124047">
        <w:tc>
          <w:tcPr>
            <w:tcW w:w="4445" w:type="dxa"/>
          </w:tcPr>
          <w:p w14:paraId="07ACCD6E" w14:textId="436DA7A0" w:rsidR="00D336D8" w:rsidRPr="00D336D8" w:rsidRDefault="00124047" w:rsidP="00D336D8">
            <w:pPr>
              <w:jc w:val="both"/>
            </w:pPr>
            <w:r>
              <w:t>PQQ</w:t>
            </w:r>
            <w:r w:rsidR="00D336D8" w:rsidRPr="00D336D8">
              <w:t xml:space="preserve"> Closing Date and Time:</w:t>
            </w:r>
          </w:p>
        </w:tc>
        <w:tc>
          <w:tcPr>
            <w:tcW w:w="3851" w:type="dxa"/>
          </w:tcPr>
          <w:p w14:paraId="265C8A0F" w14:textId="50B07F4C" w:rsidR="00D336D8" w:rsidRPr="00D336D8" w:rsidRDefault="00682784" w:rsidP="00EC669F">
            <w:pPr>
              <w:jc w:val="both"/>
            </w:pPr>
            <w:r>
              <w:t>05/10/2020</w:t>
            </w:r>
          </w:p>
        </w:tc>
      </w:tr>
    </w:tbl>
    <w:p w14:paraId="2D019804" w14:textId="3D0C0501" w:rsidR="00D336D8" w:rsidRDefault="00D336D8" w:rsidP="0004667B">
      <w:pPr>
        <w:jc w:val="both"/>
      </w:pPr>
      <w:bookmarkStart w:id="43" w:name="_GoBack"/>
      <w:bookmarkEnd w:id="43"/>
    </w:p>
    <w:p w14:paraId="527B9852" w14:textId="65BF01A5" w:rsidR="00853419" w:rsidRDefault="00374DDF" w:rsidP="00124047">
      <w:pPr>
        <w:rPr>
          <w:szCs w:val="20"/>
        </w:rPr>
      </w:pPr>
      <w:r>
        <w:rPr>
          <w:szCs w:val="20"/>
        </w:rPr>
        <w:br w:type="page"/>
      </w:r>
    </w:p>
    <w:p w14:paraId="18E05F7B" w14:textId="6E23CE29" w:rsidR="00853419" w:rsidRDefault="00853419" w:rsidP="00311E73">
      <w:pPr>
        <w:jc w:val="both"/>
        <w:rPr>
          <w:szCs w:val="20"/>
        </w:rPr>
      </w:pPr>
      <w:r>
        <w:rPr>
          <w:szCs w:val="20"/>
        </w:rPr>
        <w:lastRenderedPageBreak/>
        <w:t xml:space="preserve">Attachments contained in the </w:t>
      </w:r>
      <w:proofErr w:type="spellStart"/>
      <w:r>
        <w:rPr>
          <w:szCs w:val="20"/>
        </w:rPr>
        <w:t>RFx</w:t>
      </w:r>
      <w:proofErr w:type="spellEnd"/>
      <w:r>
        <w:rPr>
          <w:szCs w:val="20"/>
        </w:rPr>
        <w:t xml:space="preserve"> </w:t>
      </w:r>
      <w:r w:rsidR="001C478B">
        <w:rPr>
          <w:szCs w:val="20"/>
        </w:rPr>
        <w:t>a</w:t>
      </w:r>
      <w:r>
        <w:rPr>
          <w:szCs w:val="20"/>
        </w:rPr>
        <w:t>ttachments folder relating to this event:</w:t>
      </w:r>
    </w:p>
    <w:p w14:paraId="6EA8DBD9" w14:textId="5F0715D5" w:rsidR="00462D60" w:rsidRDefault="00462D60" w:rsidP="00311E73">
      <w:pPr>
        <w:jc w:val="both"/>
        <w:rPr>
          <w:szCs w:val="20"/>
        </w:rPr>
      </w:pPr>
    </w:p>
    <w:p w14:paraId="2DDD6BEA" w14:textId="43F275CF" w:rsidR="00462D60" w:rsidRPr="00CD4427" w:rsidRDefault="00CD4427" w:rsidP="00CD4427">
      <w:pPr>
        <w:jc w:val="both"/>
        <w:rPr>
          <w:b/>
          <w:szCs w:val="20"/>
        </w:rPr>
      </w:pPr>
      <w:r>
        <w:rPr>
          <w:b/>
          <w:szCs w:val="20"/>
        </w:rPr>
        <w:t xml:space="preserve">1 </w:t>
      </w:r>
      <w:r w:rsidRPr="00CD4427">
        <w:rPr>
          <w:b/>
          <w:szCs w:val="20"/>
        </w:rPr>
        <w:t>-</w:t>
      </w:r>
      <w:r>
        <w:rPr>
          <w:b/>
          <w:szCs w:val="20"/>
        </w:rPr>
        <w:t xml:space="preserve"> </w:t>
      </w:r>
      <w:r w:rsidR="00462D60" w:rsidRPr="00CD4427">
        <w:rPr>
          <w:b/>
          <w:szCs w:val="20"/>
        </w:rPr>
        <w:t xml:space="preserve">This </w:t>
      </w:r>
      <w:r w:rsidR="000E0B0E">
        <w:rPr>
          <w:b/>
          <w:szCs w:val="20"/>
        </w:rPr>
        <w:t xml:space="preserve">PQQ </w:t>
      </w:r>
      <w:r w:rsidR="00462D60" w:rsidRPr="00CD4427">
        <w:rPr>
          <w:b/>
          <w:szCs w:val="20"/>
        </w:rPr>
        <w:t xml:space="preserve"> instructions to Potential Tenderers</w:t>
      </w:r>
    </w:p>
    <w:p w14:paraId="6C659271" w14:textId="404F7D7F" w:rsidR="00124047" w:rsidRDefault="00CD4427" w:rsidP="00311E73">
      <w:pPr>
        <w:jc w:val="both"/>
        <w:rPr>
          <w:b/>
          <w:szCs w:val="20"/>
        </w:rPr>
      </w:pPr>
      <w:r>
        <w:rPr>
          <w:b/>
          <w:szCs w:val="20"/>
        </w:rPr>
        <w:t xml:space="preserve">2 - </w:t>
      </w:r>
      <w:r w:rsidR="00124047">
        <w:rPr>
          <w:b/>
          <w:szCs w:val="20"/>
        </w:rPr>
        <w:t>RFI Attachment 001 – Glossary of Terms</w:t>
      </w:r>
    </w:p>
    <w:p w14:paraId="5140B8FE" w14:textId="6A24D6F2" w:rsidR="00124047" w:rsidRDefault="00CD4427" w:rsidP="00311E73">
      <w:pPr>
        <w:jc w:val="both"/>
        <w:rPr>
          <w:b/>
          <w:szCs w:val="20"/>
        </w:rPr>
      </w:pPr>
      <w:r>
        <w:rPr>
          <w:b/>
          <w:szCs w:val="20"/>
        </w:rPr>
        <w:t xml:space="preserve">3 - </w:t>
      </w:r>
      <w:r w:rsidR="00124047">
        <w:rPr>
          <w:b/>
          <w:szCs w:val="20"/>
        </w:rPr>
        <w:t xml:space="preserve">RFI Attachment 002 </w:t>
      </w:r>
      <w:r>
        <w:rPr>
          <w:b/>
          <w:szCs w:val="20"/>
        </w:rPr>
        <w:t>–</w:t>
      </w:r>
      <w:r w:rsidR="00124047">
        <w:rPr>
          <w:b/>
          <w:szCs w:val="20"/>
        </w:rPr>
        <w:t xml:space="preserve"> </w:t>
      </w:r>
      <w:r>
        <w:rPr>
          <w:b/>
          <w:szCs w:val="20"/>
        </w:rPr>
        <w:t>Evaluation Criteria</w:t>
      </w:r>
    </w:p>
    <w:p w14:paraId="467A7E45" w14:textId="7BA49CFC" w:rsidR="00CD4427" w:rsidRDefault="00CD4427" w:rsidP="00311E73">
      <w:pPr>
        <w:jc w:val="both"/>
        <w:rPr>
          <w:b/>
          <w:szCs w:val="20"/>
        </w:rPr>
      </w:pPr>
      <w:r>
        <w:rPr>
          <w:b/>
          <w:szCs w:val="20"/>
        </w:rPr>
        <w:t xml:space="preserve">4 - </w:t>
      </w:r>
      <w:r w:rsidR="00124047">
        <w:rPr>
          <w:b/>
          <w:szCs w:val="20"/>
        </w:rPr>
        <w:t>RFI Attachment 00</w:t>
      </w:r>
      <w:r>
        <w:rPr>
          <w:b/>
          <w:szCs w:val="20"/>
        </w:rPr>
        <w:t>3 – Emptoris Guidance</w:t>
      </w:r>
    </w:p>
    <w:p w14:paraId="0FA1006D" w14:textId="652F7647" w:rsidR="00124047" w:rsidRDefault="00CD4427" w:rsidP="00311E73">
      <w:pPr>
        <w:jc w:val="both"/>
        <w:rPr>
          <w:b/>
          <w:szCs w:val="20"/>
        </w:rPr>
      </w:pPr>
      <w:r>
        <w:rPr>
          <w:b/>
          <w:szCs w:val="20"/>
        </w:rPr>
        <w:t xml:space="preserve">5 - </w:t>
      </w:r>
      <w:r w:rsidR="00124047">
        <w:rPr>
          <w:b/>
          <w:szCs w:val="20"/>
        </w:rPr>
        <w:t>RFI Attachment 00</w:t>
      </w:r>
      <w:r>
        <w:rPr>
          <w:b/>
          <w:szCs w:val="20"/>
        </w:rPr>
        <w:t>4 – Procurement Documents</w:t>
      </w:r>
    </w:p>
    <w:p w14:paraId="0560B4FC" w14:textId="5E45A31F" w:rsidR="00CD4427" w:rsidRDefault="00CD4427" w:rsidP="002706D7">
      <w:pPr>
        <w:rPr>
          <w:b/>
          <w:szCs w:val="20"/>
        </w:rPr>
      </w:pPr>
      <w:r>
        <w:rPr>
          <w:b/>
          <w:szCs w:val="20"/>
        </w:rPr>
        <w:t>6 - PQQ Document</w:t>
      </w:r>
    </w:p>
    <w:p w14:paraId="0FD5E5A3" w14:textId="44A999B0" w:rsidR="00C340B0" w:rsidRPr="00D41E50" w:rsidRDefault="00C340B0">
      <w:pPr>
        <w:jc w:val="both"/>
        <w:rPr>
          <w:szCs w:val="20"/>
        </w:rPr>
      </w:pPr>
    </w:p>
    <w:sectPr w:rsidR="00C340B0" w:rsidRPr="00D41E50" w:rsidSect="00945FA3">
      <w:headerReference w:type="default" r:id="rId19"/>
      <w:footerReference w:type="default" r:id="rId20"/>
      <w:pgSz w:w="11906" w:h="16838"/>
      <w:pgMar w:top="1440" w:right="1800" w:bottom="1440" w:left="180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A6232" w14:textId="77777777" w:rsidR="00CE2523" w:rsidRDefault="00CE2523">
      <w:r>
        <w:separator/>
      </w:r>
    </w:p>
  </w:endnote>
  <w:endnote w:type="continuationSeparator" w:id="0">
    <w:p w14:paraId="0083BA80" w14:textId="77777777" w:rsidR="00CE2523" w:rsidRDefault="00CE2523">
      <w:r>
        <w:continuationSeparator/>
      </w:r>
    </w:p>
  </w:endnote>
  <w:endnote w:type="continuationNotice" w:id="1">
    <w:p w14:paraId="1BDE32AC" w14:textId="77777777" w:rsidR="00CE2523" w:rsidRDefault="00CE25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14FFC" w14:textId="77777777" w:rsidR="00883F03" w:rsidRDefault="00883F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81940" w14:textId="77777777" w:rsidR="004C224B" w:rsidRPr="009F4AF0" w:rsidRDefault="004C224B" w:rsidP="004C224B">
    <w:pPr>
      <w:pStyle w:val="Header"/>
    </w:pPr>
  </w:p>
  <w:p w14:paraId="582D8EEE" w14:textId="77777777" w:rsidR="004C224B" w:rsidRDefault="004C224B" w:rsidP="004C224B"/>
  <w:p w14:paraId="66D122C4" w14:textId="77777777" w:rsidR="004C224B" w:rsidRDefault="004C224B" w:rsidP="004C224B">
    <w:pPr>
      <w:pStyle w:val="Footer"/>
      <w:pBdr>
        <w:top w:val="single" w:sz="4" w:space="1" w:color="auto"/>
      </w:pBdr>
      <w:rPr>
        <w:rFonts w:ascii="Arial" w:hAnsi="Arial" w:cs="Arial"/>
        <w:sz w:val="16"/>
        <w:szCs w:val="16"/>
      </w:rPr>
    </w:pPr>
  </w:p>
  <w:p w14:paraId="002F9F09" w14:textId="703FE699" w:rsidR="004C224B" w:rsidRPr="00945FA3" w:rsidRDefault="004C224B" w:rsidP="004C224B">
    <w:pPr>
      <w:pStyle w:val="Footer"/>
      <w:pBdr>
        <w:top w:val="single" w:sz="4" w:space="1" w:color="auto"/>
      </w:pBdr>
      <w:rPr>
        <w:rFonts w:ascii="Arial" w:hAnsi="Arial" w:cs="Arial"/>
        <w:sz w:val="16"/>
        <w:szCs w:val="16"/>
      </w:rPr>
    </w:pPr>
    <w:r>
      <w:rPr>
        <w:rFonts w:ascii="Arial" w:hAnsi="Arial" w:cs="Arial"/>
        <w:sz w:val="16"/>
        <w:szCs w:val="16"/>
      </w:rPr>
      <w:tab/>
    </w:r>
    <w:r>
      <w:rPr>
        <w:rFonts w:ascii="Arial" w:hAnsi="Arial" w:cs="Arial"/>
        <w:sz w:val="16"/>
        <w:szCs w:val="16"/>
      </w:rPr>
      <w:tab/>
    </w:r>
    <w:r w:rsidRPr="00945FA3">
      <w:rPr>
        <w:rFonts w:ascii="Arial" w:hAnsi="Arial" w:cs="Arial"/>
        <w:sz w:val="16"/>
        <w:szCs w:val="16"/>
      </w:rPr>
      <w:t xml:space="preserve">Page </w:t>
    </w:r>
    <w:r w:rsidRPr="00945FA3">
      <w:rPr>
        <w:rFonts w:ascii="Arial" w:hAnsi="Arial" w:cs="Arial"/>
        <w:sz w:val="16"/>
        <w:szCs w:val="16"/>
      </w:rPr>
      <w:fldChar w:fldCharType="begin"/>
    </w:r>
    <w:r w:rsidRPr="00945FA3">
      <w:rPr>
        <w:rFonts w:ascii="Arial" w:hAnsi="Arial" w:cs="Arial"/>
        <w:sz w:val="16"/>
        <w:szCs w:val="16"/>
      </w:rPr>
      <w:instrText xml:space="preserve"> PAGE </w:instrText>
    </w:r>
    <w:r w:rsidRPr="00945FA3">
      <w:rPr>
        <w:rFonts w:ascii="Arial" w:hAnsi="Arial" w:cs="Arial"/>
        <w:sz w:val="16"/>
        <w:szCs w:val="16"/>
      </w:rPr>
      <w:fldChar w:fldCharType="separate"/>
    </w:r>
    <w:r w:rsidR="00472390">
      <w:rPr>
        <w:rFonts w:ascii="Arial" w:hAnsi="Arial" w:cs="Arial"/>
        <w:noProof/>
        <w:sz w:val="16"/>
        <w:szCs w:val="16"/>
      </w:rPr>
      <w:t>2</w:t>
    </w:r>
    <w:r w:rsidRPr="00945FA3">
      <w:rPr>
        <w:rFonts w:ascii="Arial" w:hAnsi="Arial" w:cs="Arial"/>
        <w:sz w:val="16"/>
        <w:szCs w:val="16"/>
      </w:rPr>
      <w:fldChar w:fldCharType="end"/>
    </w:r>
    <w:r w:rsidRPr="00945FA3">
      <w:rPr>
        <w:rFonts w:ascii="Arial" w:hAnsi="Arial" w:cs="Arial"/>
        <w:sz w:val="16"/>
        <w:szCs w:val="16"/>
      </w:rPr>
      <w:t xml:space="preserve"> of </w:t>
    </w:r>
    <w:r w:rsidRPr="00945FA3">
      <w:rPr>
        <w:rFonts w:ascii="Arial" w:hAnsi="Arial" w:cs="Arial"/>
        <w:sz w:val="16"/>
        <w:szCs w:val="16"/>
      </w:rPr>
      <w:fldChar w:fldCharType="begin"/>
    </w:r>
    <w:r w:rsidRPr="00945FA3">
      <w:rPr>
        <w:rFonts w:ascii="Arial" w:hAnsi="Arial" w:cs="Arial"/>
        <w:sz w:val="16"/>
        <w:szCs w:val="16"/>
      </w:rPr>
      <w:instrText xml:space="preserve"> NUMPAGES </w:instrText>
    </w:r>
    <w:r w:rsidRPr="00945FA3">
      <w:rPr>
        <w:rFonts w:ascii="Arial" w:hAnsi="Arial" w:cs="Arial"/>
        <w:sz w:val="16"/>
        <w:szCs w:val="16"/>
      </w:rPr>
      <w:fldChar w:fldCharType="separate"/>
    </w:r>
    <w:r w:rsidR="00472390">
      <w:rPr>
        <w:rFonts w:ascii="Arial" w:hAnsi="Arial" w:cs="Arial"/>
        <w:noProof/>
        <w:sz w:val="16"/>
        <w:szCs w:val="16"/>
      </w:rPr>
      <w:t>9</w:t>
    </w:r>
    <w:r w:rsidRPr="00945FA3">
      <w:rPr>
        <w:rFonts w:ascii="Arial" w:hAnsi="Arial" w:cs="Arial"/>
        <w:sz w:val="16"/>
        <w:szCs w:val="16"/>
      </w:rPr>
      <w:fldChar w:fldCharType="end"/>
    </w:r>
  </w:p>
  <w:p w14:paraId="3DF4C9FA" w14:textId="3853AF43" w:rsidR="004C224B" w:rsidRPr="00945FA3" w:rsidRDefault="004C224B" w:rsidP="004C224B">
    <w:pPr>
      <w:pStyle w:val="Footer"/>
      <w:pBdr>
        <w:top w:val="single" w:sz="4" w:space="1" w:color="auto"/>
      </w:pBdr>
      <w:rPr>
        <w:sz w:val="16"/>
        <w:szCs w:val="16"/>
      </w:rPr>
    </w:pPr>
    <w:r>
      <w:rPr>
        <w:rFonts w:ascii="Arial" w:hAnsi="Arial" w:cs="Arial"/>
        <w:sz w:val="16"/>
        <w:szCs w:val="16"/>
      </w:rPr>
      <w:t>[FILE NAME INCL REVISION NUMBER]</w:t>
    </w:r>
  </w:p>
  <w:p w14:paraId="3BB86DB8" w14:textId="77777777" w:rsidR="004C224B" w:rsidRDefault="004C22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85E94" w14:textId="77777777" w:rsidR="00F25D43" w:rsidRDefault="00F25D43" w:rsidP="001345A0">
    <w:pPr>
      <w:pStyle w:val="Footer"/>
      <w:pBdr>
        <w:top w:val="single" w:sz="4" w:space="1" w:color="auto"/>
      </w:pBdr>
      <w:rPr>
        <w:rFonts w:ascii="Arial" w:hAnsi="Arial" w:cs="Arial"/>
        <w:sz w:val="16"/>
        <w:szCs w:val="16"/>
      </w:rPr>
    </w:pPr>
  </w:p>
  <w:p w14:paraId="46614D4D" w14:textId="6A99EACE" w:rsidR="00F25D43" w:rsidRPr="00945FA3" w:rsidRDefault="004C224B" w:rsidP="001345A0">
    <w:pPr>
      <w:pStyle w:val="Footer"/>
      <w:pBdr>
        <w:top w:val="single" w:sz="4" w:space="1" w:color="auto"/>
      </w:pBdr>
      <w:rPr>
        <w:rFonts w:ascii="Arial" w:hAnsi="Arial" w:cs="Arial"/>
        <w:sz w:val="16"/>
        <w:szCs w:val="16"/>
      </w:rPr>
    </w:pPr>
    <w:r>
      <w:rPr>
        <w:rFonts w:ascii="Arial" w:hAnsi="Arial" w:cs="Arial"/>
        <w:sz w:val="16"/>
        <w:szCs w:val="16"/>
      </w:rPr>
      <w:t>[FILE NAME INCL REVISION NUMBER]</w:t>
    </w:r>
    <w:r w:rsidR="00F25D43">
      <w:rPr>
        <w:rFonts w:ascii="Arial" w:hAnsi="Arial" w:cs="Arial"/>
        <w:sz w:val="16"/>
        <w:szCs w:val="16"/>
      </w:rPr>
      <w:tab/>
    </w:r>
    <w:r w:rsidR="00F25D43">
      <w:rPr>
        <w:rFonts w:ascii="Arial" w:hAnsi="Arial" w:cs="Arial"/>
        <w:sz w:val="16"/>
        <w:szCs w:val="16"/>
      </w:rPr>
      <w:tab/>
    </w:r>
    <w:r w:rsidR="00F25D43" w:rsidRPr="00945FA3">
      <w:rPr>
        <w:rFonts w:ascii="Arial" w:hAnsi="Arial" w:cs="Arial"/>
        <w:sz w:val="16"/>
        <w:szCs w:val="16"/>
      </w:rPr>
      <w:t xml:space="preserve">Page </w:t>
    </w:r>
    <w:r w:rsidR="00F25D43" w:rsidRPr="00945FA3">
      <w:rPr>
        <w:rFonts w:ascii="Arial" w:hAnsi="Arial" w:cs="Arial"/>
        <w:sz w:val="16"/>
        <w:szCs w:val="16"/>
      </w:rPr>
      <w:fldChar w:fldCharType="begin"/>
    </w:r>
    <w:r w:rsidR="00F25D43" w:rsidRPr="00945FA3">
      <w:rPr>
        <w:rFonts w:ascii="Arial" w:hAnsi="Arial" w:cs="Arial"/>
        <w:sz w:val="16"/>
        <w:szCs w:val="16"/>
      </w:rPr>
      <w:instrText xml:space="preserve"> PAGE </w:instrText>
    </w:r>
    <w:r w:rsidR="00F25D43" w:rsidRPr="00945FA3">
      <w:rPr>
        <w:rFonts w:ascii="Arial" w:hAnsi="Arial" w:cs="Arial"/>
        <w:sz w:val="16"/>
        <w:szCs w:val="16"/>
      </w:rPr>
      <w:fldChar w:fldCharType="separate"/>
    </w:r>
    <w:r w:rsidR="00472390">
      <w:rPr>
        <w:rFonts w:ascii="Arial" w:hAnsi="Arial" w:cs="Arial"/>
        <w:noProof/>
        <w:sz w:val="16"/>
        <w:szCs w:val="16"/>
      </w:rPr>
      <w:t>1</w:t>
    </w:r>
    <w:r w:rsidR="00F25D43" w:rsidRPr="00945FA3">
      <w:rPr>
        <w:rFonts w:ascii="Arial" w:hAnsi="Arial" w:cs="Arial"/>
        <w:sz w:val="16"/>
        <w:szCs w:val="16"/>
      </w:rPr>
      <w:fldChar w:fldCharType="end"/>
    </w:r>
    <w:r w:rsidR="00F25D43" w:rsidRPr="00945FA3">
      <w:rPr>
        <w:rFonts w:ascii="Arial" w:hAnsi="Arial" w:cs="Arial"/>
        <w:sz w:val="16"/>
        <w:szCs w:val="16"/>
      </w:rPr>
      <w:t xml:space="preserve"> of </w:t>
    </w:r>
    <w:r w:rsidR="00F25D43" w:rsidRPr="00945FA3">
      <w:rPr>
        <w:rFonts w:ascii="Arial" w:hAnsi="Arial" w:cs="Arial"/>
        <w:sz w:val="16"/>
        <w:szCs w:val="16"/>
      </w:rPr>
      <w:fldChar w:fldCharType="begin"/>
    </w:r>
    <w:r w:rsidR="00F25D43" w:rsidRPr="00945FA3">
      <w:rPr>
        <w:rFonts w:ascii="Arial" w:hAnsi="Arial" w:cs="Arial"/>
        <w:sz w:val="16"/>
        <w:szCs w:val="16"/>
      </w:rPr>
      <w:instrText xml:space="preserve"> NUMPAGES </w:instrText>
    </w:r>
    <w:r w:rsidR="00F25D43" w:rsidRPr="00945FA3">
      <w:rPr>
        <w:rFonts w:ascii="Arial" w:hAnsi="Arial" w:cs="Arial"/>
        <w:sz w:val="16"/>
        <w:szCs w:val="16"/>
      </w:rPr>
      <w:fldChar w:fldCharType="separate"/>
    </w:r>
    <w:r w:rsidR="00472390">
      <w:rPr>
        <w:rFonts w:ascii="Arial" w:hAnsi="Arial" w:cs="Arial"/>
        <w:noProof/>
        <w:sz w:val="16"/>
        <w:szCs w:val="16"/>
      </w:rPr>
      <w:t>9</w:t>
    </w:r>
    <w:r w:rsidR="00F25D43" w:rsidRPr="00945FA3">
      <w:rPr>
        <w:rFonts w:ascii="Arial" w:hAnsi="Arial" w:cs="Arial"/>
        <w:sz w:val="16"/>
        <w:szCs w:val="16"/>
      </w:rPr>
      <w:fldChar w:fldCharType="end"/>
    </w:r>
  </w:p>
  <w:p w14:paraId="1DDF655B" w14:textId="77777777" w:rsidR="00F25D43" w:rsidRPr="00945FA3" w:rsidRDefault="00F25D43" w:rsidP="00945FA3">
    <w:pPr>
      <w:pStyle w:val="Footer"/>
      <w:pBdr>
        <w:top w:val="single" w:sz="4" w:space="1" w:color="auto"/>
      </w:pBd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1FBB3" w14:textId="3DD73E2A" w:rsidR="00F25D43" w:rsidRPr="00945FA3" w:rsidRDefault="00F25D43" w:rsidP="00945FA3">
    <w:pPr>
      <w:pStyle w:val="Footer"/>
      <w:pBdr>
        <w:top w:val="single" w:sz="4" w:space="1" w:color="auto"/>
      </w:pBdr>
      <w:rPr>
        <w:rFonts w:ascii="Arial" w:hAnsi="Arial" w:cs="Arial"/>
        <w:sz w:val="16"/>
        <w:szCs w:val="16"/>
      </w:rPr>
    </w:pPr>
    <w:r>
      <w:rPr>
        <w:rFonts w:ascii="Arial" w:hAnsi="Arial" w:cs="Arial"/>
        <w:sz w:val="16"/>
        <w:szCs w:val="16"/>
      </w:rPr>
      <w:t>[FILE NAME INCL REVISION NUMBER]</w:t>
    </w:r>
    <w:r>
      <w:rPr>
        <w:rFonts w:ascii="Arial" w:hAnsi="Arial" w:cs="Arial"/>
        <w:sz w:val="16"/>
        <w:szCs w:val="16"/>
      </w:rPr>
      <w:tab/>
    </w:r>
    <w:r>
      <w:rPr>
        <w:rFonts w:ascii="Arial" w:hAnsi="Arial" w:cs="Arial"/>
        <w:sz w:val="16"/>
        <w:szCs w:val="16"/>
      </w:rPr>
      <w:tab/>
    </w:r>
    <w:r w:rsidRPr="00945FA3">
      <w:rPr>
        <w:rFonts w:ascii="Arial" w:hAnsi="Arial" w:cs="Arial"/>
        <w:sz w:val="16"/>
        <w:szCs w:val="16"/>
      </w:rPr>
      <w:t xml:space="preserve">Page </w:t>
    </w:r>
    <w:r w:rsidRPr="00945FA3">
      <w:rPr>
        <w:rFonts w:ascii="Arial" w:hAnsi="Arial" w:cs="Arial"/>
        <w:sz w:val="16"/>
        <w:szCs w:val="16"/>
      </w:rPr>
      <w:fldChar w:fldCharType="begin"/>
    </w:r>
    <w:r w:rsidRPr="00945FA3">
      <w:rPr>
        <w:rFonts w:ascii="Arial" w:hAnsi="Arial" w:cs="Arial"/>
        <w:sz w:val="16"/>
        <w:szCs w:val="16"/>
      </w:rPr>
      <w:instrText xml:space="preserve"> PAGE </w:instrText>
    </w:r>
    <w:r w:rsidRPr="00945FA3">
      <w:rPr>
        <w:rFonts w:ascii="Arial" w:hAnsi="Arial" w:cs="Arial"/>
        <w:sz w:val="16"/>
        <w:szCs w:val="16"/>
      </w:rPr>
      <w:fldChar w:fldCharType="separate"/>
    </w:r>
    <w:r w:rsidR="00472390">
      <w:rPr>
        <w:rFonts w:ascii="Arial" w:hAnsi="Arial" w:cs="Arial"/>
        <w:noProof/>
        <w:sz w:val="16"/>
        <w:szCs w:val="16"/>
      </w:rPr>
      <w:t>9</w:t>
    </w:r>
    <w:r w:rsidRPr="00945FA3">
      <w:rPr>
        <w:rFonts w:ascii="Arial" w:hAnsi="Arial" w:cs="Arial"/>
        <w:sz w:val="16"/>
        <w:szCs w:val="16"/>
      </w:rPr>
      <w:fldChar w:fldCharType="end"/>
    </w:r>
    <w:r w:rsidRPr="00945FA3">
      <w:rPr>
        <w:rFonts w:ascii="Arial" w:hAnsi="Arial" w:cs="Arial"/>
        <w:sz w:val="16"/>
        <w:szCs w:val="16"/>
      </w:rPr>
      <w:t xml:space="preserve"> of </w:t>
    </w:r>
    <w:r w:rsidRPr="00945FA3">
      <w:rPr>
        <w:rFonts w:ascii="Arial" w:hAnsi="Arial" w:cs="Arial"/>
        <w:sz w:val="16"/>
        <w:szCs w:val="16"/>
      </w:rPr>
      <w:fldChar w:fldCharType="begin"/>
    </w:r>
    <w:r w:rsidRPr="00945FA3">
      <w:rPr>
        <w:rFonts w:ascii="Arial" w:hAnsi="Arial" w:cs="Arial"/>
        <w:sz w:val="16"/>
        <w:szCs w:val="16"/>
      </w:rPr>
      <w:instrText xml:space="preserve"> NUMPAGES </w:instrText>
    </w:r>
    <w:r w:rsidRPr="00945FA3">
      <w:rPr>
        <w:rFonts w:ascii="Arial" w:hAnsi="Arial" w:cs="Arial"/>
        <w:sz w:val="16"/>
        <w:szCs w:val="16"/>
      </w:rPr>
      <w:fldChar w:fldCharType="separate"/>
    </w:r>
    <w:r w:rsidR="00472390">
      <w:rPr>
        <w:rFonts w:ascii="Arial" w:hAnsi="Arial" w:cs="Arial"/>
        <w:noProof/>
        <w:sz w:val="16"/>
        <w:szCs w:val="16"/>
      </w:rPr>
      <w:t>9</w:t>
    </w:r>
    <w:r w:rsidRPr="00945FA3">
      <w:rPr>
        <w:rFonts w:ascii="Arial" w:hAnsi="Arial" w:cs="Arial"/>
        <w:sz w:val="16"/>
        <w:szCs w:val="16"/>
      </w:rPr>
      <w:fldChar w:fldCharType="end"/>
    </w:r>
  </w:p>
  <w:p w14:paraId="7B81F830" w14:textId="77777777" w:rsidR="00F25D43" w:rsidRPr="00945FA3" w:rsidRDefault="00F25D43" w:rsidP="00945FA3">
    <w:pPr>
      <w:pStyle w:val="Footer"/>
      <w:pBdr>
        <w:top w:val="single" w:sz="4" w:space="1" w:color="auto"/>
      </w:pBd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3E872" w14:textId="77777777" w:rsidR="00CE2523" w:rsidRDefault="00CE2523">
      <w:r>
        <w:separator/>
      </w:r>
    </w:p>
  </w:footnote>
  <w:footnote w:type="continuationSeparator" w:id="0">
    <w:p w14:paraId="4151A137" w14:textId="77777777" w:rsidR="00CE2523" w:rsidRDefault="00CE2523">
      <w:r>
        <w:continuationSeparator/>
      </w:r>
    </w:p>
  </w:footnote>
  <w:footnote w:type="continuationNotice" w:id="1">
    <w:p w14:paraId="40E61A6F" w14:textId="77777777" w:rsidR="00CE2523" w:rsidRDefault="00CE25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0987F" w14:textId="77777777" w:rsidR="00883F03" w:rsidRDefault="00883F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4493"/>
      <w:gridCol w:w="1673"/>
      <w:gridCol w:w="1673"/>
    </w:tblGrid>
    <w:tr w:rsidR="009A791C" w14:paraId="3D5BD1CD" w14:textId="77777777" w:rsidTr="004C224B">
      <w:trPr>
        <w:cantSplit/>
        <w:trHeight w:val="502"/>
        <w:jc w:val="center"/>
      </w:trPr>
      <w:tc>
        <w:tcPr>
          <w:tcW w:w="2122" w:type="dxa"/>
          <w:vAlign w:val="center"/>
        </w:tcPr>
        <w:p w14:paraId="03074C69" w14:textId="77777777" w:rsidR="009A791C" w:rsidRDefault="009A791C" w:rsidP="009A791C">
          <w:pPr>
            <w:pStyle w:val="Header"/>
            <w:jc w:val="center"/>
            <w:rPr>
              <w:rFonts w:cs="Arial"/>
              <w:szCs w:val="20"/>
            </w:rPr>
          </w:pPr>
          <w:r>
            <w:rPr>
              <w:rFonts w:cs="Arial"/>
              <w:szCs w:val="20"/>
            </w:rPr>
            <w:t>Reference</w:t>
          </w:r>
        </w:p>
      </w:tc>
      <w:tc>
        <w:tcPr>
          <w:tcW w:w="4493" w:type="dxa"/>
          <w:tcBorders>
            <w:right w:val="nil"/>
          </w:tcBorders>
          <w:shd w:val="clear" w:color="auto" w:fill="auto"/>
          <w:vAlign w:val="center"/>
        </w:tcPr>
        <w:p w14:paraId="4A0B1BCE" w14:textId="77777777" w:rsidR="009A791C" w:rsidRPr="00D06567" w:rsidRDefault="009A791C" w:rsidP="009A791C">
          <w:pPr>
            <w:pStyle w:val="Header"/>
            <w:jc w:val="center"/>
            <w:rPr>
              <w:rFonts w:cs="Arial"/>
              <w:szCs w:val="20"/>
            </w:rPr>
          </w:pPr>
          <w:r w:rsidRPr="00D06567">
            <w:rPr>
              <w:rFonts w:cs="Arial"/>
              <w:szCs w:val="20"/>
            </w:rPr>
            <w:t>Title</w:t>
          </w:r>
        </w:p>
      </w:tc>
      <w:tc>
        <w:tcPr>
          <w:tcW w:w="1673" w:type="dxa"/>
          <w:tcBorders>
            <w:top w:val="single" w:sz="4" w:space="0" w:color="auto"/>
            <w:left w:val="single" w:sz="4" w:space="0" w:color="auto"/>
            <w:bottom w:val="single" w:sz="4" w:space="0" w:color="auto"/>
            <w:right w:val="single" w:sz="4" w:space="0" w:color="auto"/>
          </w:tcBorders>
          <w:vAlign w:val="center"/>
        </w:tcPr>
        <w:p w14:paraId="27368881" w14:textId="77777777" w:rsidR="009A791C" w:rsidRDefault="009A791C" w:rsidP="009A791C">
          <w:pPr>
            <w:pStyle w:val="Header"/>
            <w:jc w:val="center"/>
            <w:rPr>
              <w:rFonts w:cs="Arial"/>
              <w:szCs w:val="20"/>
            </w:rPr>
          </w:pPr>
          <w:r>
            <w:rPr>
              <w:rFonts w:cs="Arial"/>
              <w:szCs w:val="20"/>
            </w:rPr>
            <w:t>Issued</w:t>
          </w:r>
        </w:p>
      </w:tc>
      <w:tc>
        <w:tcPr>
          <w:tcW w:w="1673" w:type="dxa"/>
          <w:tcBorders>
            <w:top w:val="single" w:sz="4" w:space="0" w:color="auto"/>
            <w:left w:val="single" w:sz="4" w:space="0" w:color="auto"/>
            <w:bottom w:val="single" w:sz="4" w:space="0" w:color="auto"/>
            <w:right w:val="single" w:sz="4" w:space="0" w:color="auto"/>
          </w:tcBorders>
          <w:vAlign w:val="center"/>
        </w:tcPr>
        <w:p w14:paraId="721F7F19" w14:textId="77777777" w:rsidR="009A791C" w:rsidRDefault="009A791C" w:rsidP="009A791C">
          <w:pPr>
            <w:pStyle w:val="Header"/>
            <w:jc w:val="center"/>
            <w:rPr>
              <w:rFonts w:cs="Arial"/>
              <w:szCs w:val="20"/>
            </w:rPr>
          </w:pPr>
          <w:r>
            <w:rPr>
              <w:rFonts w:cs="Arial"/>
              <w:szCs w:val="20"/>
            </w:rPr>
            <w:t>Revision</w:t>
          </w:r>
        </w:p>
      </w:tc>
    </w:tr>
    <w:tr w:rsidR="009A791C" w:rsidRPr="0082320E" w14:paraId="4AF7668A" w14:textId="77777777" w:rsidTr="004C224B">
      <w:trPr>
        <w:cantSplit/>
        <w:trHeight w:val="502"/>
        <w:jc w:val="center"/>
      </w:trPr>
      <w:tc>
        <w:tcPr>
          <w:tcW w:w="2122" w:type="dxa"/>
          <w:vAlign w:val="center"/>
        </w:tcPr>
        <w:p w14:paraId="068C78B9" w14:textId="7498B5FB" w:rsidR="009A791C" w:rsidRPr="0082320E" w:rsidRDefault="00883F03" w:rsidP="009A791C">
          <w:pPr>
            <w:pStyle w:val="Header"/>
            <w:jc w:val="center"/>
            <w:rPr>
              <w:rFonts w:cs="Arial"/>
              <w:b/>
              <w:szCs w:val="20"/>
            </w:rPr>
          </w:pPr>
          <w:r w:rsidRPr="00883F03">
            <w:rPr>
              <w:rFonts w:cs="Arial"/>
              <w:szCs w:val="20"/>
            </w:rPr>
            <w:t>FO-PRS-063</w:t>
          </w:r>
        </w:p>
      </w:tc>
      <w:tc>
        <w:tcPr>
          <w:tcW w:w="4493" w:type="dxa"/>
          <w:tcBorders>
            <w:right w:val="nil"/>
          </w:tcBorders>
          <w:shd w:val="clear" w:color="auto" w:fill="auto"/>
          <w:vAlign w:val="center"/>
        </w:tcPr>
        <w:p w14:paraId="55FFFD1D" w14:textId="77777777" w:rsidR="009A791C" w:rsidRPr="009F4AF0" w:rsidRDefault="009A791C" w:rsidP="009A791C">
          <w:pPr>
            <w:pStyle w:val="Header"/>
            <w:jc w:val="center"/>
            <w:rPr>
              <w:rFonts w:cs="Arial"/>
              <w:szCs w:val="20"/>
            </w:rPr>
          </w:pPr>
          <w:r w:rsidRPr="009F4AF0">
            <w:rPr>
              <w:rFonts w:cs="Arial"/>
              <w:szCs w:val="20"/>
            </w:rPr>
            <w:t>ITT Instructions to Potential Providers</w:t>
          </w:r>
        </w:p>
      </w:tc>
      <w:tc>
        <w:tcPr>
          <w:tcW w:w="1673" w:type="dxa"/>
          <w:tcBorders>
            <w:top w:val="single" w:sz="4" w:space="0" w:color="auto"/>
            <w:left w:val="single" w:sz="4" w:space="0" w:color="auto"/>
            <w:bottom w:val="single" w:sz="4" w:space="0" w:color="auto"/>
            <w:right w:val="single" w:sz="4" w:space="0" w:color="auto"/>
          </w:tcBorders>
          <w:vAlign w:val="center"/>
        </w:tcPr>
        <w:p w14:paraId="589E2C4F" w14:textId="6FCE8EF1" w:rsidR="009A791C" w:rsidRPr="0082320E" w:rsidRDefault="002706D7" w:rsidP="009A791C">
          <w:pPr>
            <w:pStyle w:val="Header"/>
            <w:jc w:val="center"/>
            <w:rPr>
              <w:rFonts w:cs="Arial"/>
              <w:b/>
              <w:szCs w:val="20"/>
            </w:rPr>
          </w:pPr>
          <w:r>
            <w:rPr>
              <w:rFonts w:cs="Arial"/>
              <w:szCs w:val="20"/>
            </w:rPr>
            <w:t>April 2019</w:t>
          </w:r>
        </w:p>
      </w:tc>
      <w:tc>
        <w:tcPr>
          <w:tcW w:w="1673" w:type="dxa"/>
          <w:tcBorders>
            <w:top w:val="single" w:sz="4" w:space="0" w:color="auto"/>
            <w:left w:val="single" w:sz="4" w:space="0" w:color="auto"/>
            <w:bottom w:val="single" w:sz="4" w:space="0" w:color="auto"/>
            <w:right w:val="single" w:sz="4" w:space="0" w:color="auto"/>
          </w:tcBorders>
          <w:vAlign w:val="center"/>
        </w:tcPr>
        <w:p w14:paraId="4716A652" w14:textId="08D02EB3" w:rsidR="009A791C" w:rsidRPr="0082320E" w:rsidRDefault="009A791C" w:rsidP="009A791C">
          <w:pPr>
            <w:pStyle w:val="Header"/>
            <w:jc w:val="center"/>
            <w:rPr>
              <w:rFonts w:cs="Arial"/>
              <w:b/>
              <w:szCs w:val="20"/>
            </w:rPr>
          </w:pPr>
          <w:r>
            <w:rPr>
              <w:rFonts w:cs="Arial"/>
              <w:szCs w:val="20"/>
            </w:rPr>
            <w:t>1</w:t>
          </w:r>
          <w:r w:rsidR="002706D7">
            <w:rPr>
              <w:rFonts w:cs="Arial"/>
              <w:szCs w:val="20"/>
            </w:rPr>
            <w:t>.0</w:t>
          </w:r>
        </w:p>
      </w:tc>
    </w:tr>
  </w:tbl>
  <w:p w14:paraId="1F9C70C9" w14:textId="77777777" w:rsidR="009A791C" w:rsidRDefault="009A79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4352"/>
      <w:gridCol w:w="1673"/>
      <w:gridCol w:w="1673"/>
    </w:tblGrid>
    <w:tr w:rsidR="009F4AF0" w:rsidRPr="0082320E" w14:paraId="32010C98" w14:textId="77777777" w:rsidTr="004C224B">
      <w:trPr>
        <w:cantSplit/>
        <w:trHeight w:val="502"/>
        <w:jc w:val="center"/>
      </w:trPr>
      <w:tc>
        <w:tcPr>
          <w:tcW w:w="2263" w:type="dxa"/>
          <w:vAlign w:val="center"/>
        </w:tcPr>
        <w:p w14:paraId="3C115C19" w14:textId="77777777" w:rsidR="009F4AF0" w:rsidRDefault="009F4AF0" w:rsidP="00157F45">
          <w:pPr>
            <w:pStyle w:val="Header"/>
            <w:jc w:val="center"/>
            <w:rPr>
              <w:rFonts w:cs="Arial"/>
              <w:szCs w:val="20"/>
            </w:rPr>
          </w:pPr>
          <w:r>
            <w:rPr>
              <w:rFonts w:cs="Arial"/>
              <w:szCs w:val="20"/>
            </w:rPr>
            <w:t>Reference</w:t>
          </w:r>
        </w:p>
      </w:tc>
      <w:tc>
        <w:tcPr>
          <w:tcW w:w="4352" w:type="dxa"/>
          <w:tcBorders>
            <w:right w:val="nil"/>
          </w:tcBorders>
          <w:shd w:val="clear" w:color="auto" w:fill="auto"/>
          <w:vAlign w:val="center"/>
        </w:tcPr>
        <w:p w14:paraId="0106EC20" w14:textId="77777777" w:rsidR="009F4AF0" w:rsidRPr="00D06567" w:rsidRDefault="009F4AF0" w:rsidP="00157F45">
          <w:pPr>
            <w:pStyle w:val="Header"/>
            <w:jc w:val="center"/>
            <w:rPr>
              <w:rFonts w:cs="Arial"/>
              <w:szCs w:val="20"/>
            </w:rPr>
          </w:pPr>
          <w:r w:rsidRPr="00D06567">
            <w:rPr>
              <w:rFonts w:cs="Arial"/>
              <w:szCs w:val="20"/>
            </w:rPr>
            <w:t>Title</w:t>
          </w:r>
        </w:p>
      </w:tc>
      <w:tc>
        <w:tcPr>
          <w:tcW w:w="1673" w:type="dxa"/>
          <w:tcBorders>
            <w:top w:val="single" w:sz="4" w:space="0" w:color="auto"/>
            <w:left w:val="single" w:sz="4" w:space="0" w:color="auto"/>
            <w:bottom w:val="single" w:sz="4" w:space="0" w:color="auto"/>
            <w:right w:val="single" w:sz="4" w:space="0" w:color="auto"/>
          </w:tcBorders>
          <w:vAlign w:val="center"/>
        </w:tcPr>
        <w:p w14:paraId="019D2E38" w14:textId="77777777" w:rsidR="009F4AF0" w:rsidRDefault="009F4AF0" w:rsidP="00157F45">
          <w:pPr>
            <w:pStyle w:val="Header"/>
            <w:jc w:val="center"/>
            <w:rPr>
              <w:rFonts w:cs="Arial"/>
              <w:szCs w:val="20"/>
            </w:rPr>
          </w:pPr>
          <w:r>
            <w:rPr>
              <w:rFonts w:cs="Arial"/>
              <w:szCs w:val="20"/>
            </w:rPr>
            <w:t>Issued</w:t>
          </w:r>
        </w:p>
      </w:tc>
      <w:tc>
        <w:tcPr>
          <w:tcW w:w="1673" w:type="dxa"/>
          <w:tcBorders>
            <w:top w:val="single" w:sz="4" w:space="0" w:color="auto"/>
            <w:left w:val="single" w:sz="4" w:space="0" w:color="auto"/>
            <w:bottom w:val="single" w:sz="4" w:space="0" w:color="auto"/>
            <w:right w:val="single" w:sz="4" w:space="0" w:color="auto"/>
          </w:tcBorders>
          <w:vAlign w:val="center"/>
        </w:tcPr>
        <w:p w14:paraId="0602BC5E" w14:textId="77777777" w:rsidR="009F4AF0" w:rsidRDefault="009F4AF0" w:rsidP="00157F45">
          <w:pPr>
            <w:pStyle w:val="Header"/>
            <w:jc w:val="center"/>
            <w:rPr>
              <w:rFonts w:cs="Arial"/>
              <w:szCs w:val="20"/>
            </w:rPr>
          </w:pPr>
          <w:r>
            <w:rPr>
              <w:rFonts w:cs="Arial"/>
              <w:szCs w:val="20"/>
            </w:rPr>
            <w:t>Revision</w:t>
          </w:r>
        </w:p>
      </w:tc>
    </w:tr>
    <w:tr w:rsidR="00A00A72" w:rsidRPr="0082320E" w14:paraId="03F532A4" w14:textId="77777777" w:rsidTr="00A00A72">
      <w:trPr>
        <w:cantSplit/>
        <w:trHeight w:val="502"/>
        <w:jc w:val="center"/>
      </w:trPr>
      <w:tc>
        <w:tcPr>
          <w:tcW w:w="2263" w:type="dxa"/>
          <w:tcBorders>
            <w:top w:val="single" w:sz="4" w:space="0" w:color="auto"/>
            <w:left w:val="single" w:sz="4" w:space="0" w:color="auto"/>
            <w:bottom w:val="single" w:sz="4" w:space="0" w:color="auto"/>
            <w:right w:val="single" w:sz="4" w:space="0" w:color="auto"/>
          </w:tcBorders>
          <w:vAlign w:val="center"/>
        </w:tcPr>
        <w:p w14:paraId="4E009971" w14:textId="23301200" w:rsidR="00A00A72" w:rsidRPr="00A00A72" w:rsidRDefault="00883F03" w:rsidP="00A00A72">
          <w:pPr>
            <w:pStyle w:val="Header"/>
            <w:jc w:val="center"/>
            <w:rPr>
              <w:rFonts w:cs="Arial"/>
              <w:szCs w:val="20"/>
            </w:rPr>
          </w:pPr>
          <w:r w:rsidRPr="00883F03">
            <w:rPr>
              <w:rFonts w:cs="Arial"/>
              <w:szCs w:val="20"/>
            </w:rPr>
            <w:t>FO-PRS-063</w:t>
          </w:r>
        </w:p>
      </w:tc>
      <w:tc>
        <w:tcPr>
          <w:tcW w:w="4352" w:type="dxa"/>
          <w:tcBorders>
            <w:top w:val="single" w:sz="4" w:space="0" w:color="auto"/>
            <w:left w:val="single" w:sz="4" w:space="0" w:color="auto"/>
            <w:bottom w:val="single" w:sz="4" w:space="0" w:color="auto"/>
            <w:right w:val="nil"/>
          </w:tcBorders>
          <w:shd w:val="clear" w:color="auto" w:fill="auto"/>
          <w:vAlign w:val="center"/>
        </w:tcPr>
        <w:p w14:paraId="080B52A8" w14:textId="77777777" w:rsidR="00A00A72" w:rsidRPr="009F4AF0" w:rsidRDefault="00A00A72" w:rsidP="00A00A72">
          <w:pPr>
            <w:pStyle w:val="Header"/>
            <w:jc w:val="center"/>
            <w:rPr>
              <w:rFonts w:cs="Arial"/>
              <w:szCs w:val="20"/>
            </w:rPr>
          </w:pPr>
          <w:r w:rsidRPr="009F4AF0">
            <w:rPr>
              <w:rFonts w:cs="Arial"/>
              <w:szCs w:val="20"/>
            </w:rPr>
            <w:t>ITT Instructions to Potential Providers</w:t>
          </w:r>
        </w:p>
      </w:tc>
      <w:tc>
        <w:tcPr>
          <w:tcW w:w="1673" w:type="dxa"/>
          <w:tcBorders>
            <w:top w:val="single" w:sz="4" w:space="0" w:color="auto"/>
            <w:left w:val="single" w:sz="4" w:space="0" w:color="auto"/>
            <w:bottom w:val="single" w:sz="4" w:space="0" w:color="auto"/>
            <w:right w:val="single" w:sz="4" w:space="0" w:color="auto"/>
          </w:tcBorders>
          <w:vAlign w:val="center"/>
        </w:tcPr>
        <w:p w14:paraId="356E98E6" w14:textId="2BAE44AB" w:rsidR="00A00A72" w:rsidRPr="00A00A72" w:rsidRDefault="00A00A72" w:rsidP="00A00A72">
          <w:pPr>
            <w:pStyle w:val="Header"/>
            <w:jc w:val="center"/>
            <w:rPr>
              <w:rFonts w:cs="Arial"/>
              <w:szCs w:val="20"/>
            </w:rPr>
          </w:pPr>
          <w:r>
            <w:rPr>
              <w:rFonts w:cs="Arial"/>
              <w:szCs w:val="20"/>
            </w:rPr>
            <w:t>April 201</w:t>
          </w:r>
          <w:r w:rsidR="002706D7">
            <w:rPr>
              <w:rFonts w:cs="Arial"/>
              <w:szCs w:val="20"/>
            </w:rPr>
            <w:t>9</w:t>
          </w:r>
        </w:p>
      </w:tc>
      <w:tc>
        <w:tcPr>
          <w:tcW w:w="1673" w:type="dxa"/>
          <w:tcBorders>
            <w:top w:val="single" w:sz="4" w:space="0" w:color="auto"/>
            <w:left w:val="single" w:sz="4" w:space="0" w:color="auto"/>
            <w:bottom w:val="single" w:sz="4" w:space="0" w:color="auto"/>
            <w:right w:val="single" w:sz="4" w:space="0" w:color="auto"/>
          </w:tcBorders>
          <w:vAlign w:val="center"/>
        </w:tcPr>
        <w:p w14:paraId="6EEC8D4A" w14:textId="77777777" w:rsidR="00A00A72" w:rsidRPr="00A00A72" w:rsidRDefault="00A00A72" w:rsidP="00A00A72">
          <w:pPr>
            <w:pStyle w:val="Header"/>
            <w:jc w:val="center"/>
            <w:rPr>
              <w:rFonts w:cs="Arial"/>
              <w:szCs w:val="20"/>
            </w:rPr>
          </w:pPr>
          <w:r w:rsidRPr="00A00A72">
            <w:rPr>
              <w:rFonts w:cs="Arial"/>
              <w:szCs w:val="20"/>
            </w:rPr>
            <w:t>1.0</w:t>
          </w:r>
        </w:p>
      </w:tc>
    </w:tr>
  </w:tbl>
  <w:p w14:paraId="72F38219" w14:textId="51AFB85E" w:rsidR="00F25D43" w:rsidRPr="009F4AF0" w:rsidRDefault="00F25D43" w:rsidP="009F4A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4352"/>
      <w:gridCol w:w="1673"/>
      <w:gridCol w:w="1673"/>
    </w:tblGrid>
    <w:tr w:rsidR="009A791C" w14:paraId="56CE7353" w14:textId="77777777" w:rsidTr="004C224B">
      <w:trPr>
        <w:cantSplit/>
        <w:trHeight w:val="502"/>
        <w:jc w:val="center"/>
      </w:trPr>
      <w:tc>
        <w:tcPr>
          <w:tcW w:w="2263" w:type="dxa"/>
          <w:vAlign w:val="center"/>
        </w:tcPr>
        <w:p w14:paraId="6B968DD6" w14:textId="77777777" w:rsidR="009A791C" w:rsidRDefault="009A791C" w:rsidP="009A791C">
          <w:pPr>
            <w:pStyle w:val="Header"/>
            <w:jc w:val="center"/>
            <w:rPr>
              <w:rFonts w:cs="Arial"/>
              <w:szCs w:val="20"/>
            </w:rPr>
          </w:pPr>
          <w:r>
            <w:rPr>
              <w:rFonts w:cs="Arial"/>
              <w:szCs w:val="20"/>
            </w:rPr>
            <w:t>Reference</w:t>
          </w:r>
        </w:p>
      </w:tc>
      <w:tc>
        <w:tcPr>
          <w:tcW w:w="4352" w:type="dxa"/>
          <w:tcBorders>
            <w:right w:val="nil"/>
          </w:tcBorders>
          <w:shd w:val="clear" w:color="auto" w:fill="auto"/>
          <w:vAlign w:val="center"/>
        </w:tcPr>
        <w:p w14:paraId="09CC2C4D" w14:textId="77777777" w:rsidR="009A791C" w:rsidRPr="00D06567" w:rsidRDefault="009A791C" w:rsidP="009A791C">
          <w:pPr>
            <w:pStyle w:val="Header"/>
            <w:jc w:val="center"/>
            <w:rPr>
              <w:rFonts w:cs="Arial"/>
              <w:szCs w:val="20"/>
            </w:rPr>
          </w:pPr>
          <w:r w:rsidRPr="00D06567">
            <w:rPr>
              <w:rFonts w:cs="Arial"/>
              <w:szCs w:val="20"/>
            </w:rPr>
            <w:t>Title</w:t>
          </w:r>
        </w:p>
      </w:tc>
      <w:tc>
        <w:tcPr>
          <w:tcW w:w="1673" w:type="dxa"/>
          <w:tcBorders>
            <w:top w:val="single" w:sz="4" w:space="0" w:color="auto"/>
            <w:left w:val="single" w:sz="4" w:space="0" w:color="auto"/>
            <w:bottom w:val="single" w:sz="4" w:space="0" w:color="auto"/>
            <w:right w:val="single" w:sz="4" w:space="0" w:color="auto"/>
          </w:tcBorders>
          <w:vAlign w:val="center"/>
        </w:tcPr>
        <w:p w14:paraId="78CC4CA0" w14:textId="77777777" w:rsidR="009A791C" w:rsidRDefault="009A791C" w:rsidP="009A791C">
          <w:pPr>
            <w:pStyle w:val="Header"/>
            <w:jc w:val="center"/>
            <w:rPr>
              <w:rFonts w:cs="Arial"/>
              <w:szCs w:val="20"/>
            </w:rPr>
          </w:pPr>
          <w:r>
            <w:rPr>
              <w:rFonts w:cs="Arial"/>
              <w:szCs w:val="20"/>
            </w:rPr>
            <w:t>Issued</w:t>
          </w:r>
        </w:p>
      </w:tc>
      <w:tc>
        <w:tcPr>
          <w:tcW w:w="1673" w:type="dxa"/>
          <w:tcBorders>
            <w:top w:val="single" w:sz="4" w:space="0" w:color="auto"/>
            <w:left w:val="single" w:sz="4" w:space="0" w:color="auto"/>
            <w:bottom w:val="single" w:sz="4" w:space="0" w:color="auto"/>
            <w:right w:val="single" w:sz="4" w:space="0" w:color="auto"/>
          </w:tcBorders>
          <w:vAlign w:val="center"/>
        </w:tcPr>
        <w:p w14:paraId="50A4A157" w14:textId="77777777" w:rsidR="009A791C" w:rsidRDefault="009A791C" w:rsidP="009A791C">
          <w:pPr>
            <w:pStyle w:val="Header"/>
            <w:jc w:val="center"/>
            <w:rPr>
              <w:rFonts w:cs="Arial"/>
              <w:szCs w:val="20"/>
            </w:rPr>
          </w:pPr>
          <w:r>
            <w:rPr>
              <w:rFonts w:cs="Arial"/>
              <w:szCs w:val="20"/>
            </w:rPr>
            <w:t>Revision</w:t>
          </w:r>
        </w:p>
      </w:tc>
    </w:tr>
    <w:tr w:rsidR="009A791C" w:rsidRPr="0082320E" w14:paraId="0D64D2F8" w14:textId="77777777" w:rsidTr="004C224B">
      <w:trPr>
        <w:cantSplit/>
        <w:trHeight w:val="502"/>
        <w:jc w:val="center"/>
      </w:trPr>
      <w:tc>
        <w:tcPr>
          <w:tcW w:w="2263" w:type="dxa"/>
          <w:vAlign w:val="center"/>
        </w:tcPr>
        <w:p w14:paraId="492B267F" w14:textId="7CCB059A" w:rsidR="009A791C" w:rsidRPr="0082320E" w:rsidRDefault="00883F03" w:rsidP="009A791C">
          <w:pPr>
            <w:pStyle w:val="Header"/>
            <w:jc w:val="center"/>
            <w:rPr>
              <w:rFonts w:cs="Arial"/>
              <w:b/>
              <w:szCs w:val="20"/>
            </w:rPr>
          </w:pPr>
          <w:r w:rsidRPr="00883F03">
            <w:rPr>
              <w:rFonts w:cs="Arial"/>
              <w:szCs w:val="20"/>
            </w:rPr>
            <w:t>FO-PRS-063</w:t>
          </w:r>
        </w:p>
      </w:tc>
      <w:tc>
        <w:tcPr>
          <w:tcW w:w="4352" w:type="dxa"/>
          <w:tcBorders>
            <w:right w:val="nil"/>
          </w:tcBorders>
          <w:shd w:val="clear" w:color="auto" w:fill="auto"/>
          <w:vAlign w:val="center"/>
        </w:tcPr>
        <w:p w14:paraId="1770ACD5" w14:textId="77777777" w:rsidR="009A791C" w:rsidRPr="009F4AF0" w:rsidRDefault="009A791C" w:rsidP="009A791C">
          <w:pPr>
            <w:pStyle w:val="Header"/>
            <w:jc w:val="center"/>
            <w:rPr>
              <w:rFonts w:cs="Arial"/>
              <w:szCs w:val="20"/>
            </w:rPr>
          </w:pPr>
          <w:r w:rsidRPr="009F4AF0">
            <w:rPr>
              <w:rFonts w:cs="Arial"/>
              <w:szCs w:val="20"/>
            </w:rPr>
            <w:t>ITT Instructions to Potential Providers</w:t>
          </w:r>
        </w:p>
      </w:tc>
      <w:tc>
        <w:tcPr>
          <w:tcW w:w="1673" w:type="dxa"/>
          <w:tcBorders>
            <w:top w:val="single" w:sz="4" w:space="0" w:color="auto"/>
            <w:left w:val="single" w:sz="4" w:space="0" w:color="auto"/>
            <w:bottom w:val="single" w:sz="4" w:space="0" w:color="auto"/>
            <w:right w:val="single" w:sz="4" w:space="0" w:color="auto"/>
          </w:tcBorders>
          <w:vAlign w:val="center"/>
        </w:tcPr>
        <w:p w14:paraId="58A320EC" w14:textId="4684CA21" w:rsidR="009A791C" w:rsidRPr="0082320E" w:rsidRDefault="00634716" w:rsidP="009A791C">
          <w:pPr>
            <w:pStyle w:val="Header"/>
            <w:jc w:val="center"/>
            <w:rPr>
              <w:rFonts w:cs="Arial"/>
              <w:b/>
              <w:szCs w:val="20"/>
            </w:rPr>
          </w:pPr>
          <w:r>
            <w:rPr>
              <w:rFonts w:cs="Arial"/>
              <w:szCs w:val="20"/>
            </w:rPr>
            <w:t>April 201</w:t>
          </w:r>
          <w:r w:rsidR="002706D7">
            <w:rPr>
              <w:rFonts w:cs="Arial"/>
              <w:szCs w:val="20"/>
            </w:rPr>
            <w:t>9</w:t>
          </w:r>
        </w:p>
      </w:tc>
      <w:tc>
        <w:tcPr>
          <w:tcW w:w="1673" w:type="dxa"/>
          <w:tcBorders>
            <w:top w:val="single" w:sz="4" w:space="0" w:color="auto"/>
            <w:left w:val="single" w:sz="4" w:space="0" w:color="auto"/>
            <w:bottom w:val="single" w:sz="4" w:space="0" w:color="auto"/>
            <w:right w:val="single" w:sz="4" w:space="0" w:color="auto"/>
          </w:tcBorders>
          <w:vAlign w:val="center"/>
        </w:tcPr>
        <w:p w14:paraId="0532EAC2" w14:textId="64554BD6" w:rsidR="009A791C" w:rsidRPr="0082320E" w:rsidRDefault="00634716" w:rsidP="009A791C">
          <w:pPr>
            <w:pStyle w:val="Header"/>
            <w:jc w:val="center"/>
            <w:rPr>
              <w:rFonts w:cs="Arial"/>
              <w:b/>
              <w:szCs w:val="20"/>
            </w:rPr>
          </w:pPr>
          <w:r w:rsidRPr="00883F03">
            <w:rPr>
              <w:rFonts w:cs="Arial"/>
              <w:szCs w:val="20"/>
            </w:rPr>
            <w:t>1.0</w:t>
          </w:r>
        </w:p>
      </w:tc>
    </w:tr>
  </w:tbl>
  <w:p w14:paraId="30376CE7" w14:textId="77777777" w:rsidR="00F25D43" w:rsidRPr="00700E17" w:rsidRDefault="00F25D43" w:rsidP="00700E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AE6E9E6"/>
    <w:lvl w:ilvl="0">
      <w:numFmt w:val="bullet"/>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5D15F0"/>
    <w:multiLevelType w:val="multilevel"/>
    <w:tmpl w:val="27C0383C"/>
    <w:lvl w:ilvl="0">
      <w:start w:val="1"/>
      <w:numFmt w:val="decimal"/>
      <w:lvlText w:val="%1."/>
      <w:lvlJc w:val="left"/>
      <w:pPr>
        <w:tabs>
          <w:tab w:val="num" w:pos="567"/>
        </w:tabs>
        <w:ind w:left="567" w:hanging="567"/>
      </w:pPr>
      <w:rPr>
        <w:rFonts w:cs="Times New Roman" w:hint="default"/>
        <w:b w:val="0"/>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567"/>
        </w:tabs>
        <w:ind w:left="567" w:hanging="56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02B33C9D"/>
    <w:multiLevelType w:val="multilevel"/>
    <w:tmpl w:val="2912202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13966AC"/>
    <w:multiLevelType w:val="hybridMultilevel"/>
    <w:tmpl w:val="43F8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F49FB"/>
    <w:multiLevelType w:val="hybridMultilevel"/>
    <w:tmpl w:val="F2566D8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15:restartNumberingAfterBreak="0">
    <w:nsid w:val="16CA72D3"/>
    <w:multiLevelType w:val="hybridMultilevel"/>
    <w:tmpl w:val="B8485528"/>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15:restartNumberingAfterBreak="0">
    <w:nsid w:val="248412E5"/>
    <w:multiLevelType w:val="hybridMultilevel"/>
    <w:tmpl w:val="FD96292A"/>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2A6E07C8"/>
    <w:multiLevelType w:val="hybridMultilevel"/>
    <w:tmpl w:val="59963678"/>
    <w:lvl w:ilvl="0" w:tplc="8070B3D4">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FB0F9B"/>
    <w:multiLevelType w:val="hybridMultilevel"/>
    <w:tmpl w:val="A8D0AC0A"/>
    <w:lvl w:ilvl="0" w:tplc="9AE84A0C">
      <w:start w:val="1"/>
      <w:numFmt w:val="decimal"/>
      <w:lvlText w:val="%1)"/>
      <w:lvlJc w:val="left"/>
      <w:pPr>
        <w:ind w:left="1800" w:hanging="360"/>
      </w:pPr>
      <w:rPr>
        <w:rFonts w:hint="default"/>
      </w:rPr>
    </w:lvl>
    <w:lvl w:ilvl="1" w:tplc="08090019" w:tentative="1">
      <w:start w:val="1"/>
      <w:numFmt w:val="lowerLetter"/>
      <w:lvlText w:val="%2."/>
      <w:lvlJc w:val="left"/>
      <w:pPr>
        <w:ind w:left="2313" w:hanging="360"/>
      </w:pPr>
    </w:lvl>
    <w:lvl w:ilvl="2" w:tplc="0809001B" w:tentative="1">
      <w:start w:val="1"/>
      <w:numFmt w:val="lowerRoman"/>
      <w:lvlText w:val="%3."/>
      <w:lvlJc w:val="right"/>
      <w:pPr>
        <w:ind w:left="3033" w:hanging="180"/>
      </w:pPr>
    </w:lvl>
    <w:lvl w:ilvl="3" w:tplc="0809000F" w:tentative="1">
      <w:start w:val="1"/>
      <w:numFmt w:val="decimal"/>
      <w:lvlText w:val="%4."/>
      <w:lvlJc w:val="left"/>
      <w:pPr>
        <w:ind w:left="3753" w:hanging="360"/>
      </w:pPr>
    </w:lvl>
    <w:lvl w:ilvl="4" w:tplc="08090019" w:tentative="1">
      <w:start w:val="1"/>
      <w:numFmt w:val="lowerLetter"/>
      <w:lvlText w:val="%5."/>
      <w:lvlJc w:val="left"/>
      <w:pPr>
        <w:ind w:left="4473" w:hanging="360"/>
      </w:pPr>
    </w:lvl>
    <w:lvl w:ilvl="5" w:tplc="0809001B" w:tentative="1">
      <w:start w:val="1"/>
      <w:numFmt w:val="lowerRoman"/>
      <w:lvlText w:val="%6."/>
      <w:lvlJc w:val="right"/>
      <w:pPr>
        <w:ind w:left="5193" w:hanging="180"/>
      </w:pPr>
    </w:lvl>
    <w:lvl w:ilvl="6" w:tplc="0809000F" w:tentative="1">
      <w:start w:val="1"/>
      <w:numFmt w:val="decimal"/>
      <w:lvlText w:val="%7."/>
      <w:lvlJc w:val="left"/>
      <w:pPr>
        <w:ind w:left="5913" w:hanging="360"/>
      </w:pPr>
    </w:lvl>
    <w:lvl w:ilvl="7" w:tplc="08090019" w:tentative="1">
      <w:start w:val="1"/>
      <w:numFmt w:val="lowerLetter"/>
      <w:lvlText w:val="%8."/>
      <w:lvlJc w:val="left"/>
      <w:pPr>
        <w:ind w:left="6633" w:hanging="360"/>
      </w:pPr>
    </w:lvl>
    <w:lvl w:ilvl="8" w:tplc="0809001B" w:tentative="1">
      <w:start w:val="1"/>
      <w:numFmt w:val="lowerRoman"/>
      <w:lvlText w:val="%9."/>
      <w:lvlJc w:val="right"/>
      <w:pPr>
        <w:ind w:left="7353" w:hanging="180"/>
      </w:pPr>
    </w:lvl>
  </w:abstractNum>
  <w:abstractNum w:abstractNumId="10" w15:restartNumberingAfterBreak="0">
    <w:nsid w:val="2C0B4BC7"/>
    <w:multiLevelType w:val="hybridMultilevel"/>
    <w:tmpl w:val="98F432A0"/>
    <w:lvl w:ilvl="0" w:tplc="8806C5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DE4FA2"/>
    <w:multiLevelType w:val="multilevel"/>
    <w:tmpl w:val="D8E0AF9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9381AF0"/>
    <w:multiLevelType w:val="hybridMultilevel"/>
    <w:tmpl w:val="14E29C96"/>
    <w:lvl w:ilvl="0" w:tplc="D09EF978">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E5848CE"/>
    <w:multiLevelType w:val="multilevel"/>
    <w:tmpl w:val="74405B9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F355A67"/>
    <w:multiLevelType w:val="hybridMultilevel"/>
    <w:tmpl w:val="EEEA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7C1C36"/>
    <w:multiLevelType w:val="hybridMultilevel"/>
    <w:tmpl w:val="72D4C65E"/>
    <w:lvl w:ilvl="0" w:tplc="6F3E10D8">
      <w:start w:val="1"/>
      <w:numFmt w:val="decimal"/>
      <w:pStyle w:val="Heading1"/>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FB696E"/>
    <w:multiLevelType w:val="hybridMultilevel"/>
    <w:tmpl w:val="96023132"/>
    <w:lvl w:ilvl="0" w:tplc="EDC2C53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265205"/>
    <w:multiLevelType w:val="multilevel"/>
    <w:tmpl w:val="06E4A08E"/>
    <w:lvl w:ilvl="0">
      <w:start w:val="2"/>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567"/>
        </w:tabs>
        <w:ind w:left="567" w:hanging="56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56E8410C"/>
    <w:multiLevelType w:val="hybridMultilevel"/>
    <w:tmpl w:val="6BE25B78"/>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B9F2AFC"/>
    <w:multiLevelType w:val="hybridMultilevel"/>
    <w:tmpl w:val="827AFA58"/>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5F6D1D72"/>
    <w:multiLevelType w:val="hybridMultilevel"/>
    <w:tmpl w:val="8D9ABBA8"/>
    <w:lvl w:ilvl="0" w:tplc="8924CDF0">
      <w:start w:val="6"/>
      <w:numFmt w:val="decimal"/>
      <w:lvlText w:val="%1."/>
      <w:lvlJc w:val="center"/>
      <w:pPr>
        <w:ind w:left="1287" w:hanging="360"/>
      </w:pPr>
      <w:rPr>
        <w:rFonts w:cs="Times New Roman" w:hint="default"/>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21" w15:restartNumberingAfterBreak="0">
    <w:nsid w:val="65431474"/>
    <w:multiLevelType w:val="hybridMultilevel"/>
    <w:tmpl w:val="7B70DE76"/>
    <w:lvl w:ilvl="0" w:tplc="B688090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5448BF"/>
    <w:multiLevelType w:val="hybridMultilevel"/>
    <w:tmpl w:val="16A28F68"/>
    <w:lvl w:ilvl="0" w:tplc="08090017">
      <w:start w:val="1"/>
      <w:numFmt w:val="lowerLetter"/>
      <w:lvlText w:val="%1)"/>
      <w:lvlJc w:val="left"/>
      <w:pPr>
        <w:tabs>
          <w:tab w:val="num" w:pos="927"/>
        </w:tabs>
        <w:ind w:left="927" w:hanging="360"/>
      </w:pPr>
      <w:rPr>
        <w:rFonts w:cs="Times New Roman"/>
      </w:rPr>
    </w:lvl>
    <w:lvl w:ilvl="1" w:tplc="08090019" w:tentative="1">
      <w:start w:val="1"/>
      <w:numFmt w:val="lowerLetter"/>
      <w:lvlText w:val="%2."/>
      <w:lvlJc w:val="left"/>
      <w:pPr>
        <w:tabs>
          <w:tab w:val="num" w:pos="1647"/>
        </w:tabs>
        <w:ind w:left="1647" w:hanging="360"/>
      </w:pPr>
      <w:rPr>
        <w:rFonts w:cs="Times New Roman"/>
      </w:rPr>
    </w:lvl>
    <w:lvl w:ilvl="2" w:tplc="0809001B" w:tentative="1">
      <w:start w:val="1"/>
      <w:numFmt w:val="lowerRoman"/>
      <w:lvlText w:val="%3."/>
      <w:lvlJc w:val="right"/>
      <w:pPr>
        <w:tabs>
          <w:tab w:val="num" w:pos="2367"/>
        </w:tabs>
        <w:ind w:left="2367" w:hanging="180"/>
      </w:pPr>
      <w:rPr>
        <w:rFonts w:cs="Times New Roman"/>
      </w:rPr>
    </w:lvl>
    <w:lvl w:ilvl="3" w:tplc="0809000F" w:tentative="1">
      <w:start w:val="1"/>
      <w:numFmt w:val="decimal"/>
      <w:lvlText w:val="%4."/>
      <w:lvlJc w:val="left"/>
      <w:pPr>
        <w:tabs>
          <w:tab w:val="num" w:pos="3087"/>
        </w:tabs>
        <w:ind w:left="3087" w:hanging="360"/>
      </w:pPr>
      <w:rPr>
        <w:rFonts w:cs="Times New Roman"/>
      </w:rPr>
    </w:lvl>
    <w:lvl w:ilvl="4" w:tplc="08090019" w:tentative="1">
      <w:start w:val="1"/>
      <w:numFmt w:val="lowerLetter"/>
      <w:lvlText w:val="%5."/>
      <w:lvlJc w:val="left"/>
      <w:pPr>
        <w:tabs>
          <w:tab w:val="num" w:pos="3807"/>
        </w:tabs>
        <w:ind w:left="3807" w:hanging="360"/>
      </w:pPr>
      <w:rPr>
        <w:rFonts w:cs="Times New Roman"/>
      </w:rPr>
    </w:lvl>
    <w:lvl w:ilvl="5" w:tplc="0809001B" w:tentative="1">
      <w:start w:val="1"/>
      <w:numFmt w:val="lowerRoman"/>
      <w:lvlText w:val="%6."/>
      <w:lvlJc w:val="right"/>
      <w:pPr>
        <w:tabs>
          <w:tab w:val="num" w:pos="4527"/>
        </w:tabs>
        <w:ind w:left="4527" w:hanging="180"/>
      </w:pPr>
      <w:rPr>
        <w:rFonts w:cs="Times New Roman"/>
      </w:rPr>
    </w:lvl>
    <w:lvl w:ilvl="6" w:tplc="0809000F" w:tentative="1">
      <w:start w:val="1"/>
      <w:numFmt w:val="decimal"/>
      <w:lvlText w:val="%7."/>
      <w:lvlJc w:val="left"/>
      <w:pPr>
        <w:tabs>
          <w:tab w:val="num" w:pos="5247"/>
        </w:tabs>
        <w:ind w:left="5247" w:hanging="360"/>
      </w:pPr>
      <w:rPr>
        <w:rFonts w:cs="Times New Roman"/>
      </w:rPr>
    </w:lvl>
    <w:lvl w:ilvl="7" w:tplc="08090019" w:tentative="1">
      <w:start w:val="1"/>
      <w:numFmt w:val="lowerLetter"/>
      <w:lvlText w:val="%8."/>
      <w:lvlJc w:val="left"/>
      <w:pPr>
        <w:tabs>
          <w:tab w:val="num" w:pos="5967"/>
        </w:tabs>
        <w:ind w:left="5967" w:hanging="360"/>
      </w:pPr>
      <w:rPr>
        <w:rFonts w:cs="Times New Roman"/>
      </w:rPr>
    </w:lvl>
    <w:lvl w:ilvl="8" w:tplc="0809001B" w:tentative="1">
      <w:start w:val="1"/>
      <w:numFmt w:val="lowerRoman"/>
      <w:lvlText w:val="%9."/>
      <w:lvlJc w:val="right"/>
      <w:pPr>
        <w:tabs>
          <w:tab w:val="num" w:pos="6687"/>
        </w:tabs>
        <w:ind w:left="6687" w:hanging="180"/>
      </w:pPr>
      <w:rPr>
        <w:rFonts w:cs="Times New Roman"/>
      </w:rPr>
    </w:lvl>
  </w:abstractNum>
  <w:abstractNum w:abstractNumId="23" w15:restartNumberingAfterBreak="0">
    <w:nsid w:val="6F612AD5"/>
    <w:multiLevelType w:val="hybridMultilevel"/>
    <w:tmpl w:val="BD8AFC3A"/>
    <w:lvl w:ilvl="0" w:tplc="54D015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F237C1"/>
    <w:multiLevelType w:val="hybridMultilevel"/>
    <w:tmpl w:val="4D9E1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6E38D8"/>
    <w:multiLevelType w:val="hybridMultilevel"/>
    <w:tmpl w:val="9306F21A"/>
    <w:lvl w:ilvl="0" w:tplc="9AE84A0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76920914"/>
    <w:multiLevelType w:val="hybridMultilevel"/>
    <w:tmpl w:val="D2744F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FF0E6A"/>
    <w:multiLevelType w:val="hybridMultilevel"/>
    <w:tmpl w:val="75A4B3D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7BB240F8"/>
    <w:multiLevelType w:val="hybridMultilevel"/>
    <w:tmpl w:val="58C4AC34"/>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29" w15:restartNumberingAfterBreak="0">
    <w:nsid w:val="7CF813C3"/>
    <w:multiLevelType w:val="hybridMultilevel"/>
    <w:tmpl w:val="463A8E00"/>
    <w:lvl w:ilvl="0" w:tplc="9AE84A0C">
      <w:start w:val="1"/>
      <w:numFmt w:val="decimal"/>
      <w:lvlText w:val="%1)"/>
      <w:lvlJc w:val="left"/>
      <w:pPr>
        <w:ind w:left="927"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360" w:hanging="360"/>
        </w:pPr>
        <w:rPr>
          <w:rFonts w:ascii="Times New Roman" w:hAnsi="Times New Roman" w:hint="default"/>
        </w:rPr>
      </w:lvl>
    </w:lvlOverride>
  </w:num>
  <w:num w:numId="2">
    <w:abstractNumId w:val="2"/>
  </w:num>
  <w:num w:numId="3">
    <w:abstractNumId w:val="17"/>
  </w:num>
  <w:num w:numId="4">
    <w:abstractNumId w:val="12"/>
  </w:num>
  <w:num w:numId="5">
    <w:abstractNumId w:val="7"/>
  </w:num>
  <w:num w:numId="6">
    <w:abstractNumId w:val="19"/>
  </w:num>
  <w:num w:numId="7">
    <w:abstractNumId w:val="22"/>
  </w:num>
  <w:num w:numId="8">
    <w:abstractNumId w:val="28"/>
  </w:num>
  <w:num w:numId="9">
    <w:abstractNumId w:val="18"/>
  </w:num>
  <w:num w:numId="10">
    <w:abstractNumId w:val="20"/>
  </w:num>
  <w:num w:numId="11">
    <w:abstractNumId w:val="0"/>
    <w:lvlOverride w:ilvl="0">
      <w:lvl w:ilvl="0">
        <w:numFmt w:val="bullet"/>
        <w:lvlText w:val=""/>
        <w:legacy w:legacy="1" w:legacySpace="0" w:legacyIndent="0"/>
        <w:lvlJc w:val="left"/>
        <w:rPr>
          <w:rFonts w:ascii="Symbol" w:hAnsi="Symbol" w:hint="default"/>
          <w:color w:val="auto"/>
          <w:sz w:val="22"/>
        </w:rPr>
      </w:lvl>
    </w:lvlOverride>
  </w:num>
  <w:num w:numId="12">
    <w:abstractNumId w:val="6"/>
  </w:num>
  <w:num w:numId="13">
    <w:abstractNumId w:val="5"/>
  </w:num>
  <w:num w:numId="14">
    <w:abstractNumId w:val="27"/>
  </w:num>
  <w:num w:numId="15">
    <w:abstractNumId w:val="25"/>
  </w:num>
  <w:num w:numId="16">
    <w:abstractNumId w:val="29"/>
  </w:num>
  <w:num w:numId="17">
    <w:abstractNumId w:val="9"/>
  </w:num>
  <w:num w:numId="18">
    <w:abstractNumId w:val="26"/>
  </w:num>
  <w:num w:numId="19">
    <w:abstractNumId w:val="15"/>
  </w:num>
  <w:num w:numId="20">
    <w:abstractNumId w:val="8"/>
  </w:num>
  <w:num w:numId="21">
    <w:abstractNumId w:val="24"/>
  </w:num>
  <w:num w:numId="22">
    <w:abstractNumId w:val="4"/>
  </w:num>
  <w:num w:numId="23">
    <w:abstractNumId w:val="3"/>
  </w:num>
  <w:num w:numId="24">
    <w:abstractNumId w:val="11"/>
  </w:num>
  <w:num w:numId="25">
    <w:abstractNumId w:val="13"/>
  </w:num>
  <w:num w:numId="26">
    <w:abstractNumId w:val="16"/>
  </w:num>
  <w:num w:numId="27">
    <w:abstractNumId w:val="1"/>
  </w:num>
  <w:num w:numId="28">
    <w:abstractNumId w:val="21"/>
  </w:num>
  <w:num w:numId="29">
    <w:abstractNumId w:val="14"/>
  </w:num>
  <w:num w:numId="30">
    <w:abstractNumId w:val="15"/>
  </w:num>
  <w:num w:numId="31">
    <w:abstractNumId w:val="15"/>
  </w:num>
  <w:num w:numId="32">
    <w:abstractNumId w:val="23"/>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Link.UpdateFields" w:val="True"/>
  </w:docVars>
  <w:rsids>
    <w:rsidRoot w:val="0057011B"/>
    <w:rsid w:val="00000D2E"/>
    <w:rsid w:val="00002241"/>
    <w:rsid w:val="00003FCC"/>
    <w:rsid w:val="00010B02"/>
    <w:rsid w:val="0001407B"/>
    <w:rsid w:val="00016DB9"/>
    <w:rsid w:val="00024045"/>
    <w:rsid w:val="000316B6"/>
    <w:rsid w:val="00031FF0"/>
    <w:rsid w:val="00032678"/>
    <w:rsid w:val="00034307"/>
    <w:rsid w:val="00041816"/>
    <w:rsid w:val="00041DF1"/>
    <w:rsid w:val="00042DC1"/>
    <w:rsid w:val="00043E96"/>
    <w:rsid w:val="00045325"/>
    <w:rsid w:val="0004667B"/>
    <w:rsid w:val="00065594"/>
    <w:rsid w:val="000664AE"/>
    <w:rsid w:val="00067C76"/>
    <w:rsid w:val="00070643"/>
    <w:rsid w:val="00073704"/>
    <w:rsid w:val="000737D0"/>
    <w:rsid w:val="00082C22"/>
    <w:rsid w:val="000840BB"/>
    <w:rsid w:val="00086584"/>
    <w:rsid w:val="000909D9"/>
    <w:rsid w:val="00094C80"/>
    <w:rsid w:val="00097DBD"/>
    <w:rsid w:val="000A0424"/>
    <w:rsid w:val="000A1B18"/>
    <w:rsid w:val="000B10A5"/>
    <w:rsid w:val="000B6A19"/>
    <w:rsid w:val="000C53FB"/>
    <w:rsid w:val="000D49AE"/>
    <w:rsid w:val="000E0B0E"/>
    <w:rsid w:val="000E1CD1"/>
    <w:rsid w:val="000E2ACC"/>
    <w:rsid w:val="000E2EB6"/>
    <w:rsid w:val="000E454E"/>
    <w:rsid w:val="000E775C"/>
    <w:rsid w:val="000F0585"/>
    <w:rsid w:val="000F1F37"/>
    <w:rsid w:val="000F21EE"/>
    <w:rsid w:val="000F50D4"/>
    <w:rsid w:val="000F52DC"/>
    <w:rsid w:val="000F6483"/>
    <w:rsid w:val="000F6AF0"/>
    <w:rsid w:val="001015E5"/>
    <w:rsid w:val="00102350"/>
    <w:rsid w:val="00107A7E"/>
    <w:rsid w:val="00111C22"/>
    <w:rsid w:val="001157B6"/>
    <w:rsid w:val="00116DA9"/>
    <w:rsid w:val="00117000"/>
    <w:rsid w:val="00117322"/>
    <w:rsid w:val="00120F4F"/>
    <w:rsid w:val="00122232"/>
    <w:rsid w:val="00124047"/>
    <w:rsid w:val="00127310"/>
    <w:rsid w:val="001313F1"/>
    <w:rsid w:val="001345A0"/>
    <w:rsid w:val="00136C60"/>
    <w:rsid w:val="001400ED"/>
    <w:rsid w:val="001420DA"/>
    <w:rsid w:val="00144631"/>
    <w:rsid w:val="00145867"/>
    <w:rsid w:val="001477E0"/>
    <w:rsid w:val="001522E6"/>
    <w:rsid w:val="00155CD6"/>
    <w:rsid w:val="00164C3D"/>
    <w:rsid w:val="001651A3"/>
    <w:rsid w:val="0017409D"/>
    <w:rsid w:val="00180FEF"/>
    <w:rsid w:val="00186139"/>
    <w:rsid w:val="00186566"/>
    <w:rsid w:val="00187A9F"/>
    <w:rsid w:val="00196C37"/>
    <w:rsid w:val="00196D3C"/>
    <w:rsid w:val="001971C6"/>
    <w:rsid w:val="001A0CAB"/>
    <w:rsid w:val="001A0E9C"/>
    <w:rsid w:val="001A75FB"/>
    <w:rsid w:val="001B290B"/>
    <w:rsid w:val="001B3E2C"/>
    <w:rsid w:val="001B736E"/>
    <w:rsid w:val="001B7AE9"/>
    <w:rsid w:val="001B7F95"/>
    <w:rsid w:val="001C0AD8"/>
    <w:rsid w:val="001C0DC3"/>
    <w:rsid w:val="001C1CE2"/>
    <w:rsid w:val="001C4223"/>
    <w:rsid w:val="001C478B"/>
    <w:rsid w:val="001C656D"/>
    <w:rsid w:val="001D08E3"/>
    <w:rsid w:val="001D1D38"/>
    <w:rsid w:val="001D6F6C"/>
    <w:rsid w:val="001E1C5F"/>
    <w:rsid w:val="001E1E8B"/>
    <w:rsid w:val="001E2D56"/>
    <w:rsid w:val="001E6941"/>
    <w:rsid w:val="001F285B"/>
    <w:rsid w:val="001F58F3"/>
    <w:rsid w:val="001F6ECF"/>
    <w:rsid w:val="00201B9C"/>
    <w:rsid w:val="00210C22"/>
    <w:rsid w:val="00212997"/>
    <w:rsid w:val="002133E8"/>
    <w:rsid w:val="002169A6"/>
    <w:rsid w:val="00222D2D"/>
    <w:rsid w:val="002242CD"/>
    <w:rsid w:val="002253D4"/>
    <w:rsid w:val="00233F10"/>
    <w:rsid w:val="00234BE3"/>
    <w:rsid w:val="002450D3"/>
    <w:rsid w:val="00250804"/>
    <w:rsid w:val="00256B4F"/>
    <w:rsid w:val="00267D50"/>
    <w:rsid w:val="002706D7"/>
    <w:rsid w:val="00277284"/>
    <w:rsid w:val="00282B45"/>
    <w:rsid w:val="00286995"/>
    <w:rsid w:val="00286BFB"/>
    <w:rsid w:val="00291CCE"/>
    <w:rsid w:val="0029219F"/>
    <w:rsid w:val="00294DE3"/>
    <w:rsid w:val="002959AC"/>
    <w:rsid w:val="002A1AD8"/>
    <w:rsid w:val="002A28FF"/>
    <w:rsid w:val="002A33C1"/>
    <w:rsid w:val="002A69CA"/>
    <w:rsid w:val="002A70B3"/>
    <w:rsid w:val="002B0BA3"/>
    <w:rsid w:val="002B1F10"/>
    <w:rsid w:val="002B4BF2"/>
    <w:rsid w:val="002B58C6"/>
    <w:rsid w:val="002B61DB"/>
    <w:rsid w:val="002B7E18"/>
    <w:rsid w:val="002C2E1E"/>
    <w:rsid w:val="002D0AE4"/>
    <w:rsid w:val="002D1C3E"/>
    <w:rsid w:val="002D4B7C"/>
    <w:rsid w:val="002E0C68"/>
    <w:rsid w:val="002E18B5"/>
    <w:rsid w:val="002E1B2C"/>
    <w:rsid w:val="002E5A78"/>
    <w:rsid w:val="002E64D1"/>
    <w:rsid w:val="00300C9D"/>
    <w:rsid w:val="00302C47"/>
    <w:rsid w:val="00302D8F"/>
    <w:rsid w:val="00311D7F"/>
    <w:rsid w:val="00311DAC"/>
    <w:rsid w:val="00311E73"/>
    <w:rsid w:val="003121EA"/>
    <w:rsid w:val="00313CED"/>
    <w:rsid w:val="003143BF"/>
    <w:rsid w:val="00314F57"/>
    <w:rsid w:val="00320261"/>
    <w:rsid w:val="0032290C"/>
    <w:rsid w:val="00326E55"/>
    <w:rsid w:val="00327ED6"/>
    <w:rsid w:val="00331CE1"/>
    <w:rsid w:val="00333DF2"/>
    <w:rsid w:val="00334044"/>
    <w:rsid w:val="00334738"/>
    <w:rsid w:val="00335060"/>
    <w:rsid w:val="003365BB"/>
    <w:rsid w:val="00337F13"/>
    <w:rsid w:val="003403A2"/>
    <w:rsid w:val="003413EA"/>
    <w:rsid w:val="00351CE4"/>
    <w:rsid w:val="00354090"/>
    <w:rsid w:val="00356592"/>
    <w:rsid w:val="00357148"/>
    <w:rsid w:val="003667F4"/>
    <w:rsid w:val="00374DDF"/>
    <w:rsid w:val="00377622"/>
    <w:rsid w:val="00391F0E"/>
    <w:rsid w:val="00393349"/>
    <w:rsid w:val="003937EB"/>
    <w:rsid w:val="003939AA"/>
    <w:rsid w:val="0039677C"/>
    <w:rsid w:val="003A10E7"/>
    <w:rsid w:val="003A1A6D"/>
    <w:rsid w:val="003A318B"/>
    <w:rsid w:val="003A3A75"/>
    <w:rsid w:val="003B1FB5"/>
    <w:rsid w:val="003C1258"/>
    <w:rsid w:val="003C22D1"/>
    <w:rsid w:val="003C467A"/>
    <w:rsid w:val="003C6CDD"/>
    <w:rsid w:val="003D4CE0"/>
    <w:rsid w:val="003D53BD"/>
    <w:rsid w:val="003D7FBE"/>
    <w:rsid w:val="003F0D46"/>
    <w:rsid w:val="003F477C"/>
    <w:rsid w:val="003F4BC0"/>
    <w:rsid w:val="003F6616"/>
    <w:rsid w:val="00404AFE"/>
    <w:rsid w:val="004057FB"/>
    <w:rsid w:val="004101EF"/>
    <w:rsid w:val="004242F4"/>
    <w:rsid w:val="00425DFE"/>
    <w:rsid w:val="00430632"/>
    <w:rsid w:val="0043169E"/>
    <w:rsid w:val="0043310F"/>
    <w:rsid w:val="0043573F"/>
    <w:rsid w:val="00450D38"/>
    <w:rsid w:val="0045114B"/>
    <w:rsid w:val="004517B1"/>
    <w:rsid w:val="0045319C"/>
    <w:rsid w:val="00456F45"/>
    <w:rsid w:val="0046254C"/>
    <w:rsid w:val="004625F3"/>
    <w:rsid w:val="00462D60"/>
    <w:rsid w:val="00467FC8"/>
    <w:rsid w:val="00472390"/>
    <w:rsid w:val="00473306"/>
    <w:rsid w:val="00474601"/>
    <w:rsid w:val="00474A78"/>
    <w:rsid w:val="004763B4"/>
    <w:rsid w:val="004821CA"/>
    <w:rsid w:val="00483CA7"/>
    <w:rsid w:val="00490317"/>
    <w:rsid w:val="004A2EC2"/>
    <w:rsid w:val="004A5FA5"/>
    <w:rsid w:val="004A6C9A"/>
    <w:rsid w:val="004B1052"/>
    <w:rsid w:val="004B22AE"/>
    <w:rsid w:val="004B2372"/>
    <w:rsid w:val="004B5063"/>
    <w:rsid w:val="004C224B"/>
    <w:rsid w:val="004C3F9D"/>
    <w:rsid w:val="004D5FDE"/>
    <w:rsid w:val="004D6D17"/>
    <w:rsid w:val="004D7D7D"/>
    <w:rsid w:val="004E3DF0"/>
    <w:rsid w:val="004E61DC"/>
    <w:rsid w:val="004F08DC"/>
    <w:rsid w:val="004F36C4"/>
    <w:rsid w:val="004F74A4"/>
    <w:rsid w:val="005008A8"/>
    <w:rsid w:val="005026AA"/>
    <w:rsid w:val="005055F7"/>
    <w:rsid w:val="00505F84"/>
    <w:rsid w:val="00510095"/>
    <w:rsid w:val="00512DF2"/>
    <w:rsid w:val="00516975"/>
    <w:rsid w:val="005208DF"/>
    <w:rsid w:val="00523440"/>
    <w:rsid w:val="0052625C"/>
    <w:rsid w:val="0052637D"/>
    <w:rsid w:val="00533EE1"/>
    <w:rsid w:val="00534CF2"/>
    <w:rsid w:val="005352F2"/>
    <w:rsid w:val="00540C34"/>
    <w:rsid w:val="005417ED"/>
    <w:rsid w:val="00542849"/>
    <w:rsid w:val="00546404"/>
    <w:rsid w:val="00547B91"/>
    <w:rsid w:val="005507DD"/>
    <w:rsid w:val="00552836"/>
    <w:rsid w:val="0055326A"/>
    <w:rsid w:val="00556FE5"/>
    <w:rsid w:val="005606E4"/>
    <w:rsid w:val="00560E5D"/>
    <w:rsid w:val="00563912"/>
    <w:rsid w:val="0057011B"/>
    <w:rsid w:val="00570A85"/>
    <w:rsid w:val="00570C35"/>
    <w:rsid w:val="00572713"/>
    <w:rsid w:val="0057505C"/>
    <w:rsid w:val="005830A8"/>
    <w:rsid w:val="00583DA0"/>
    <w:rsid w:val="00586581"/>
    <w:rsid w:val="00586A89"/>
    <w:rsid w:val="00591F1D"/>
    <w:rsid w:val="00593288"/>
    <w:rsid w:val="00594005"/>
    <w:rsid w:val="00594301"/>
    <w:rsid w:val="005978F5"/>
    <w:rsid w:val="005A3000"/>
    <w:rsid w:val="005A4547"/>
    <w:rsid w:val="005A6FCF"/>
    <w:rsid w:val="005A71D7"/>
    <w:rsid w:val="005A7C52"/>
    <w:rsid w:val="005B37B1"/>
    <w:rsid w:val="005B56AE"/>
    <w:rsid w:val="005C5298"/>
    <w:rsid w:val="005C7A28"/>
    <w:rsid w:val="005C7B5D"/>
    <w:rsid w:val="005D0FF0"/>
    <w:rsid w:val="005D1DB6"/>
    <w:rsid w:val="005D3237"/>
    <w:rsid w:val="005D3385"/>
    <w:rsid w:val="005D6FFE"/>
    <w:rsid w:val="005E0EE6"/>
    <w:rsid w:val="005E647F"/>
    <w:rsid w:val="005F673D"/>
    <w:rsid w:val="00603B74"/>
    <w:rsid w:val="00605B35"/>
    <w:rsid w:val="0060684F"/>
    <w:rsid w:val="006142B7"/>
    <w:rsid w:val="0061723C"/>
    <w:rsid w:val="00622B0C"/>
    <w:rsid w:val="00623810"/>
    <w:rsid w:val="00630A56"/>
    <w:rsid w:val="00632C11"/>
    <w:rsid w:val="00633FB1"/>
    <w:rsid w:val="00634435"/>
    <w:rsid w:val="00634716"/>
    <w:rsid w:val="00636A40"/>
    <w:rsid w:val="00643B4D"/>
    <w:rsid w:val="00646C32"/>
    <w:rsid w:val="00656D55"/>
    <w:rsid w:val="00657D90"/>
    <w:rsid w:val="00666CBE"/>
    <w:rsid w:val="00667337"/>
    <w:rsid w:val="00670D27"/>
    <w:rsid w:val="00671133"/>
    <w:rsid w:val="006730EE"/>
    <w:rsid w:val="0067494D"/>
    <w:rsid w:val="00682784"/>
    <w:rsid w:val="00683699"/>
    <w:rsid w:val="00684068"/>
    <w:rsid w:val="00686EC7"/>
    <w:rsid w:val="00687880"/>
    <w:rsid w:val="006878CE"/>
    <w:rsid w:val="00690068"/>
    <w:rsid w:val="006934BB"/>
    <w:rsid w:val="00693787"/>
    <w:rsid w:val="00696617"/>
    <w:rsid w:val="00696A6E"/>
    <w:rsid w:val="00697E63"/>
    <w:rsid w:val="006A5026"/>
    <w:rsid w:val="006B0369"/>
    <w:rsid w:val="006B2FCF"/>
    <w:rsid w:val="006C3673"/>
    <w:rsid w:val="006C6647"/>
    <w:rsid w:val="006D4A99"/>
    <w:rsid w:val="006D4B5D"/>
    <w:rsid w:val="006D5BE8"/>
    <w:rsid w:val="006D7FF8"/>
    <w:rsid w:val="006E4F29"/>
    <w:rsid w:val="006E6606"/>
    <w:rsid w:val="006E6BE4"/>
    <w:rsid w:val="006E7566"/>
    <w:rsid w:val="006F091F"/>
    <w:rsid w:val="006F5111"/>
    <w:rsid w:val="006F6D21"/>
    <w:rsid w:val="00700E17"/>
    <w:rsid w:val="00701F98"/>
    <w:rsid w:val="00704093"/>
    <w:rsid w:val="00706953"/>
    <w:rsid w:val="00710749"/>
    <w:rsid w:val="00710A59"/>
    <w:rsid w:val="00711A4D"/>
    <w:rsid w:val="00713D74"/>
    <w:rsid w:val="0071632A"/>
    <w:rsid w:val="00717456"/>
    <w:rsid w:val="00717CBB"/>
    <w:rsid w:val="00721E98"/>
    <w:rsid w:val="00722042"/>
    <w:rsid w:val="0072569A"/>
    <w:rsid w:val="00726AD6"/>
    <w:rsid w:val="007348C0"/>
    <w:rsid w:val="00734977"/>
    <w:rsid w:val="00734B91"/>
    <w:rsid w:val="0073724D"/>
    <w:rsid w:val="0073737B"/>
    <w:rsid w:val="007402CE"/>
    <w:rsid w:val="007423A3"/>
    <w:rsid w:val="007519EA"/>
    <w:rsid w:val="00751B59"/>
    <w:rsid w:val="007565C7"/>
    <w:rsid w:val="00757F85"/>
    <w:rsid w:val="00761097"/>
    <w:rsid w:val="007654B8"/>
    <w:rsid w:val="007662B9"/>
    <w:rsid w:val="00771D8B"/>
    <w:rsid w:val="007863F4"/>
    <w:rsid w:val="00790FCD"/>
    <w:rsid w:val="0079150F"/>
    <w:rsid w:val="00792413"/>
    <w:rsid w:val="007A2F50"/>
    <w:rsid w:val="007A4184"/>
    <w:rsid w:val="007A6626"/>
    <w:rsid w:val="007B1DD7"/>
    <w:rsid w:val="007B3CEF"/>
    <w:rsid w:val="007B59CC"/>
    <w:rsid w:val="007B60BD"/>
    <w:rsid w:val="007E271F"/>
    <w:rsid w:val="007E7C6C"/>
    <w:rsid w:val="007F1286"/>
    <w:rsid w:val="007F33A5"/>
    <w:rsid w:val="007F3BA7"/>
    <w:rsid w:val="007F76A1"/>
    <w:rsid w:val="007F7A37"/>
    <w:rsid w:val="00800F07"/>
    <w:rsid w:val="008047D3"/>
    <w:rsid w:val="00813F2D"/>
    <w:rsid w:val="008228B3"/>
    <w:rsid w:val="008262B4"/>
    <w:rsid w:val="00831828"/>
    <w:rsid w:val="00833EAB"/>
    <w:rsid w:val="008416BA"/>
    <w:rsid w:val="00844640"/>
    <w:rsid w:val="00845CAE"/>
    <w:rsid w:val="00850AEC"/>
    <w:rsid w:val="00853419"/>
    <w:rsid w:val="0085651E"/>
    <w:rsid w:val="00857C85"/>
    <w:rsid w:val="00863453"/>
    <w:rsid w:val="00864469"/>
    <w:rsid w:val="00864CC6"/>
    <w:rsid w:val="00876F92"/>
    <w:rsid w:val="00883F03"/>
    <w:rsid w:val="00884D27"/>
    <w:rsid w:val="008853CB"/>
    <w:rsid w:val="00886957"/>
    <w:rsid w:val="00886F82"/>
    <w:rsid w:val="0089069A"/>
    <w:rsid w:val="00897789"/>
    <w:rsid w:val="008A607D"/>
    <w:rsid w:val="008B0306"/>
    <w:rsid w:val="008B2637"/>
    <w:rsid w:val="008B3A15"/>
    <w:rsid w:val="008B5D15"/>
    <w:rsid w:val="008C573D"/>
    <w:rsid w:val="008C7BC6"/>
    <w:rsid w:val="008D3327"/>
    <w:rsid w:val="008D46D6"/>
    <w:rsid w:val="008D4FC5"/>
    <w:rsid w:val="008D5172"/>
    <w:rsid w:val="008D5747"/>
    <w:rsid w:val="008D77FE"/>
    <w:rsid w:val="008E5B87"/>
    <w:rsid w:val="008F3C5E"/>
    <w:rsid w:val="008F3E68"/>
    <w:rsid w:val="008F4033"/>
    <w:rsid w:val="008F4B19"/>
    <w:rsid w:val="008F60A0"/>
    <w:rsid w:val="008F690C"/>
    <w:rsid w:val="00903EC5"/>
    <w:rsid w:val="00911E5B"/>
    <w:rsid w:val="009141A9"/>
    <w:rsid w:val="00920B34"/>
    <w:rsid w:val="00921109"/>
    <w:rsid w:val="00927219"/>
    <w:rsid w:val="00930BAC"/>
    <w:rsid w:val="009315D5"/>
    <w:rsid w:val="009336EC"/>
    <w:rsid w:val="00936125"/>
    <w:rsid w:val="009361F0"/>
    <w:rsid w:val="0094491B"/>
    <w:rsid w:val="009452D9"/>
    <w:rsid w:val="00945FA3"/>
    <w:rsid w:val="00952755"/>
    <w:rsid w:val="00953657"/>
    <w:rsid w:val="009542BB"/>
    <w:rsid w:val="00961ACB"/>
    <w:rsid w:val="00965674"/>
    <w:rsid w:val="009709D3"/>
    <w:rsid w:val="0097144B"/>
    <w:rsid w:val="0097247B"/>
    <w:rsid w:val="009766BD"/>
    <w:rsid w:val="00980E8D"/>
    <w:rsid w:val="00981C0A"/>
    <w:rsid w:val="00983792"/>
    <w:rsid w:val="009859A4"/>
    <w:rsid w:val="00986CC8"/>
    <w:rsid w:val="00992C25"/>
    <w:rsid w:val="009966D1"/>
    <w:rsid w:val="009A1375"/>
    <w:rsid w:val="009A3EA9"/>
    <w:rsid w:val="009A6571"/>
    <w:rsid w:val="009A791C"/>
    <w:rsid w:val="009B4FE9"/>
    <w:rsid w:val="009B66CE"/>
    <w:rsid w:val="009C1726"/>
    <w:rsid w:val="009C3743"/>
    <w:rsid w:val="009D1853"/>
    <w:rsid w:val="009D3686"/>
    <w:rsid w:val="009D4D82"/>
    <w:rsid w:val="009E1C09"/>
    <w:rsid w:val="009E2C4F"/>
    <w:rsid w:val="009E58DF"/>
    <w:rsid w:val="009F4AF0"/>
    <w:rsid w:val="00A00A72"/>
    <w:rsid w:val="00A032EE"/>
    <w:rsid w:val="00A03EF3"/>
    <w:rsid w:val="00A054E4"/>
    <w:rsid w:val="00A05CF3"/>
    <w:rsid w:val="00A06249"/>
    <w:rsid w:val="00A110C9"/>
    <w:rsid w:val="00A11F7C"/>
    <w:rsid w:val="00A138CC"/>
    <w:rsid w:val="00A15712"/>
    <w:rsid w:val="00A15FD4"/>
    <w:rsid w:val="00A17FFC"/>
    <w:rsid w:val="00A2298A"/>
    <w:rsid w:val="00A24FC0"/>
    <w:rsid w:val="00A254F2"/>
    <w:rsid w:val="00A31E55"/>
    <w:rsid w:val="00A34525"/>
    <w:rsid w:val="00A348F1"/>
    <w:rsid w:val="00A36E2C"/>
    <w:rsid w:val="00A413C9"/>
    <w:rsid w:val="00A42183"/>
    <w:rsid w:val="00A54844"/>
    <w:rsid w:val="00A5771E"/>
    <w:rsid w:val="00A62EF7"/>
    <w:rsid w:val="00A632DE"/>
    <w:rsid w:val="00A7048D"/>
    <w:rsid w:val="00A7139E"/>
    <w:rsid w:val="00A74845"/>
    <w:rsid w:val="00A83781"/>
    <w:rsid w:val="00A873FA"/>
    <w:rsid w:val="00A927D7"/>
    <w:rsid w:val="00A96676"/>
    <w:rsid w:val="00A96EC9"/>
    <w:rsid w:val="00A971E3"/>
    <w:rsid w:val="00AA055C"/>
    <w:rsid w:val="00AA7C28"/>
    <w:rsid w:val="00AB092B"/>
    <w:rsid w:val="00AB0E00"/>
    <w:rsid w:val="00AB2077"/>
    <w:rsid w:val="00AB2516"/>
    <w:rsid w:val="00AB27B7"/>
    <w:rsid w:val="00AB32F5"/>
    <w:rsid w:val="00AB3E4B"/>
    <w:rsid w:val="00AB590D"/>
    <w:rsid w:val="00AB5BEC"/>
    <w:rsid w:val="00AB759A"/>
    <w:rsid w:val="00AC0A63"/>
    <w:rsid w:val="00AC149B"/>
    <w:rsid w:val="00AC196B"/>
    <w:rsid w:val="00AC35E3"/>
    <w:rsid w:val="00AC44B2"/>
    <w:rsid w:val="00AC65E5"/>
    <w:rsid w:val="00AD2528"/>
    <w:rsid w:val="00AD4B46"/>
    <w:rsid w:val="00AF2261"/>
    <w:rsid w:val="00AF34F3"/>
    <w:rsid w:val="00AF46F9"/>
    <w:rsid w:val="00AF4742"/>
    <w:rsid w:val="00AF7A16"/>
    <w:rsid w:val="00B059B3"/>
    <w:rsid w:val="00B07FC8"/>
    <w:rsid w:val="00B11637"/>
    <w:rsid w:val="00B1789A"/>
    <w:rsid w:val="00B23702"/>
    <w:rsid w:val="00B24D07"/>
    <w:rsid w:val="00B25691"/>
    <w:rsid w:val="00B27894"/>
    <w:rsid w:val="00B3199D"/>
    <w:rsid w:val="00B34C43"/>
    <w:rsid w:val="00B34CCE"/>
    <w:rsid w:val="00B42240"/>
    <w:rsid w:val="00B450DC"/>
    <w:rsid w:val="00B52381"/>
    <w:rsid w:val="00B54886"/>
    <w:rsid w:val="00B63BE6"/>
    <w:rsid w:val="00B64634"/>
    <w:rsid w:val="00B64E97"/>
    <w:rsid w:val="00B65AAF"/>
    <w:rsid w:val="00B67257"/>
    <w:rsid w:val="00B70BEF"/>
    <w:rsid w:val="00B715D6"/>
    <w:rsid w:val="00B81488"/>
    <w:rsid w:val="00B84275"/>
    <w:rsid w:val="00B84D74"/>
    <w:rsid w:val="00B90FED"/>
    <w:rsid w:val="00B94E0E"/>
    <w:rsid w:val="00BA18B8"/>
    <w:rsid w:val="00BB0F03"/>
    <w:rsid w:val="00BB1F32"/>
    <w:rsid w:val="00BB7E90"/>
    <w:rsid w:val="00BC539A"/>
    <w:rsid w:val="00BD2FF8"/>
    <w:rsid w:val="00BE0E6C"/>
    <w:rsid w:val="00BE17CD"/>
    <w:rsid w:val="00BE2458"/>
    <w:rsid w:val="00BE4D10"/>
    <w:rsid w:val="00BE5C92"/>
    <w:rsid w:val="00BF7818"/>
    <w:rsid w:val="00C02238"/>
    <w:rsid w:val="00C03D3D"/>
    <w:rsid w:val="00C16A68"/>
    <w:rsid w:val="00C26413"/>
    <w:rsid w:val="00C275E0"/>
    <w:rsid w:val="00C27613"/>
    <w:rsid w:val="00C27869"/>
    <w:rsid w:val="00C30DF3"/>
    <w:rsid w:val="00C313C0"/>
    <w:rsid w:val="00C32380"/>
    <w:rsid w:val="00C323B5"/>
    <w:rsid w:val="00C340B0"/>
    <w:rsid w:val="00C46AC1"/>
    <w:rsid w:val="00C51894"/>
    <w:rsid w:val="00C52664"/>
    <w:rsid w:val="00C53FCD"/>
    <w:rsid w:val="00C56A90"/>
    <w:rsid w:val="00C61B63"/>
    <w:rsid w:val="00C62279"/>
    <w:rsid w:val="00C654D3"/>
    <w:rsid w:val="00C73C69"/>
    <w:rsid w:val="00C75387"/>
    <w:rsid w:val="00C80AF3"/>
    <w:rsid w:val="00C83EDE"/>
    <w:rsid w:val="00C84167"/>
    <w:rsid w:val="00C85FAA"/>
    <w:rsid w:val="00C87B2C"/>
    <w:rsid w:val="00CA6301"/>
    <w:rsid w:val="00CB5017"/>
    <w:rsid w:val="00CB7666"/>
    <w:rsid w:val="00CC30B2"/>
    <w:rsid w:val="00CC4256"/>
    <w:rsid w:val="00CC59F0"/>
    <w:rsid w:val="00CC5BF4"/>
    <w:rsid w:val="00CC5D47"/>
    <w:rsid w:val="00CC7935"/>
    <w:rsid w:val="00CD00FD"/>
    <w:rsid w:val="00CD054E"/>
    <w:rsid w:val="00CD3815"/>
    <w:rsid w:val="00CD4427"/>
    <w:rsid w:val="00CE0C99"/>
    <w:rsid w:val="00CE14EE"/>
    <w:rsid w:val="00CE197D"/>
    <w:rsid w:val="00CE242C"/>
    <w:rsid w:val="00CE2523"/>
    <w:rsid w:val="00CF0293"/>
    <w:rsid w:val="00CF18F6"/>
    <w:rsid w:val="00CF4DE8"/>
    <w:rsid w:val="00D03FCB"/>
    <w:rsid w:val="00D103A5"/>
    <w:rsid w:val="00D11847"/>
    <w:rsid w:val="00D13B4D"/>
    <w:rsid w:val="00D1498E"/>
    <w:rsid w:val="00D152EB"/>
    <w:rsid w:val="00D157F1"/>
    <w:rsid w:val="00D15B5E"/>
    <w:rsid w:val="00D16503"/>
    <w:rsid w:val="00D16623"/>
    <w:rsid w:val="00D213FC"/>
    <w:rsid w:val="00D22FB5"/>
    <w:rsid w:val="00D3250B"/>
    <w:rsid w:val="00D33428"/>
    <w:rsid w:val="00D336D8"/>
    <w:rsid w:val="00D41274"/>
    <w:rsid w:val="00D41E50"/>
    <w:rsid w:val="00D427F0"/>
    <w:rsid w:val="00D45EAE"/>
    <w:rsid w:val="00D47E9D"/>
    <w:rsid w:val="00D525D8"/>
    <w:rsid w:val="00D6134C"/>
    <w:rsid w:val="00D67CB6"/>
    <w:rsid w:val="00D713EA"/>
    <w:rsid w:val="00D72487"/>
    <w:rsid w:val="00D751E6"/>
    <w:rsid w:val="00D77447"/>
    <w:rsid w:val="00D82686"/>
    <w:rsid w:val="00D82C8C"/>
    <w:rsid w:val="00D84041"/>
    <w:rsid w:val="00D86731"/>
    <w:rsid w:val="00D87276"/>
    <w:rsid w:val="00DA1044"/>
    <w:rsid w:val="00DA75A6"/>
    <w:rsid w:val="00DA76D9"/>
    <w:rsid w:val="00DB07EA"/>
    <w:rsid w:val="00DB2F74"/>
    <w:rsid w:val="00DB58B3"/>
    <w:rsid w:val="00DC1AA1"/>
    <w:rsid w:val="00DC3EB9"/>
    <w:rsid w:val="00DC5F0C"/>
    <w:rsid w:val="00DD1CD1"/>
    <w:rsid w:val="00DD6F4C"/>
    <w:rsid w:val="00DE4363"/>
    <w:rsid w:val="00DE6083"/>
    <w:rsid w:val="00DE7C1D"/>
    <w:rsid w:val="00DF1452"/>
    <w:rsid w:val="00DF1D04"/>
    <w:rsid w:val="00DF20A5"/>
    <w:rsid w:val="00DF3BC3"/>
    <w:rsid w:val="00DF6312"/>
    <w:rsid w:val="00E01393"/>
    <w:rsid w:val="00E0574D"/>
    <w:rsid w:val="00E12299"/>
    <w:rsid w:val="00E16331"/>
    <w:rsid w:val="00E16C26"/>
    <w:rsid w:val="00E20B98"/>
    <w:rsid w:val="00E22599"/>
    <w:rsid w:val="00E23E60"/>
    <w:rsid w:val="00E25139"/>
    <w:rsid w:val="00E32777"/>
    <w:rsid w:val="00E33639"/>
    <w:rsid w:val="00E33DD6"/>
    <w:rsid w:val="00E36231"/>
    <w:rsid w:val="00E501EA"/>
    <w:rsid w:val="00E53209"/>
    <w:rsid w:val="00E5458D"/>
    <w:rsid w:val="00E545F5"/>
    <w:rsid w:val="00E56C4E"/>
    <w:rsid w:val="00E63875"/>
    <w:rsid w:val="00E64FA6"/>
    <w:rsid w:val="00E651B5"/>
    <w:rsid w:val="00E70F33"/>
    <w:rsid w:val="00E90966"/>
    <w:rsid w:val="00E92B57"/>
    <w:rsid w:val="00E9480C"/>
    <w:rsid w:val="00EA2DA2"/>
    <w:rsid w:val="00EA321D"/>
    <w:rsid w:val="00EA579D"/>
    <w:rsid w:val="00EA5904"/>
    <w:rsid w:val="00EA7933"/>
    <w:rsid w:val="00EB35E0"/>
    <w:rsid w:val="00EC2475"/>
    <w:rsid w:val="00ED3212"/>
    <w:rsid w:val="00ED407D"/>
    <w:rsid w:val="00ED41DD"/>
    <w:rsid w:val="00ED4584"/>
    <w:rsid w:val="00ED577D"/>
    <w:rsid w:val="00EE39E5"/>
    <w:rsid w:val="00EE3F14"/>
    <w:rsid w:val="00EE686C"/>
    <w:rsid w:val="00EE7CEB"/>
    <w:rsid w:val="00EF2B39"/>
    <w:rsid w:val="00EF7442"/>
    <w:rsid w:val="00F012FB"/>
    <w:rsid w:val="00F075C6"/>
    <w:rsid w:val="00F07B97"/>
    <w:rsid w:val="00F11926"/>
    <w:rsid w:val="00F12FB6"/>
    <w:rsid w:val="00F2420C"/>
    <w:rsid w:val="00F25D43"/>
    <w:rsid w:val="00F30605"/>
    <w:rsid w:val="00F31A55"/>
    <w:rsid w:val="00F3745A"/>
    <w:rsid w:val="00F436D5"/>
    <w:rsid w:val="00F43948"/>
    <w:rsid w:val="00F45DDC"/>
    <w:rsid w:val="00F46191"/>
    <w:rsid w:val="00F6656A"/>
    <w:rsid w:val="00F73F16"/>
    <w:rsid w:val="00F74238"/>
    <w:rsid w:val="00F74D23"/>
    <w:rsid w:val="00F80045"/>
    <w:rsid w:val="00F83DA5"/>
    <w:rsid w:val="00F83F11"/>
    <w:rsid w:val="00F929F7"/>
    <w:rsid w:val="00F96B39"/>
    <w:rsid w:val="00F96D2C"/>
    <w:rsid w:val="00F9716A"/>
    <w:rsid w:val="00FA06EA"/>
    <w:rsid w:val="00FA0B78"/>
    <w:rsid w:val="00FA1A82"/>
    <w:rsid w:val="00FA5E88"/>
    <w:rsid w:val="00FA77E0"/>
    <w:rsid w:val="00FA7B3E"/>
    <w:rsid w:val="00FA7ECA"/>
    <w:rsid w:val="00FB3D07"/>
    <w:rsid w:val="00FB4108"/>
    <w:rsid w:val="00FB4A53"/>
    <w:rsid w:val="00FB4CB1"/>
    <w:rsid w:val="00FB581E"/>
    <w:rsid w:val="00FB7AD7"/>
    <w:rsid w:val="00FC0644"/>
    <w:rsid w:val="00FC3C34"/>
    <w:rsid w:val="00FC6BF3"/>
    <w:rsid w:val="00FC7068"/>
    <w:rsid w:val="00FC7A2D"/>
    <w:rsid w:val="00FD468D"/>
    <w:rsid w:val="00FD7D32"/>
    <w:rsid w:val="00FE3300"/>
    <w:rsid w:val="00FE6D75"/>
    <w:rsid w:val="00FE7823"/>
    <w:rsid w:val="00FF0402"/>
    <w:rsid w:val="00FF3A83"/>
    <w:rsid w:val="00FF3A8F"/>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90D226C"/>
  <w15:docId w15:val="{7BFD313C-20F0-4B6A-B218-79BB3646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2516"/>
    <w:rPr>
      <w:rFonts w:asciiTheme="minorHAnsi" w:hAnsiTheme="minorHAnsi"/>
      <w:szCs w:val="24"/>
    </w:rPr>
  </w:style>
  <w:style w:type="paragraph" w:styleId="Heading1">
    <w:name w:val="heading 1"/>
    <w:basedOn w:val="Normal"/>
    <w:next w:val="Normal"/>
    <w:link w:val="Heading1Char"/>
    <w:qFormat/>
    <w:rsid w:val="00853419"/>
    <w:pPr>
      <w:keepNext/>
      <w:numPr>
        <w:numId w:val="19"/>
      </w:numPr>
      <w:outlineLvl w:val="0"/>
    </w:pPr>
    <w:rPr>
      <w:rFonts w:cs="Arial"/>
      <w:b/>
      <w:bCs/>
      <w:kern w:val="32"/>
      <w:szCs w:val="32"/>
    </w:rPr>
  </w:style>
  <w:style w:type="paragraph" w:styleId="Heading2">
    <w:name w:val="heading 2"/>
    <w:basedOn w:val="Normal"/>
    <w:next w:val="Normal"/>
    <w:link w:val="Heading2Char"/>
    <w:unhideWhenUsed/>
    <w:qFormat/>
    <w:locked/>
    <w:rsid w:val="00AB2516"/>
    <w:pPr>
      <w:keepNext/>
      <w:numPr>
        <w:numId w:val="20"/>
      </w:numPr>
      <w:ind w:left="0" w:firstLine="0"/>
      <w:outlineLvl w:val="1"/>
    </w:pPr>
    <w:rPr>
      <w:rFonts w:eastAsiaTheme="majorEastAsia" w:cstheme="majorBidi"/>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53419"/>
    <w:rPr>
      <w:rFonts w:asciiTheme="minorHAnsi" w:hAnsiTheme="minorHAnsi" w:cs="Arial"/>
      <w:b/>
      <w:bCs/>
      <w:kern w:val="32"/>
      <w:szCs w:val="32"/>
    </w:rPr>
  </w:style>
  <w:style w:type="table" w:styleId="TableGrid">
    <w:name w:val="Table Grid"/>
    <w:basedOn w:val="TableNormal"/>
    <w:uiPriority w:val="59"/>
    <w:rsid w:val="00D71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73F16"/>
    <w:rPr>
      <w:rFonts w:ascii="Arial" w:hAnsi="Arial" w:cs="Times New Roman"/>
      <w:color w:val="0000FF"/>
      <w:sz w:val="20"/>
      <w:u w:val="single"/>
    </w:rPr>
  </w:style>
  <w:style w:type="paragraph" w:styleId="Header">
    <w:name w:val="header"/>
    <w:basedOn w:val="Normal"/>
    <w:link w:val="HeaderChar"/>
    <w:rsid w:val="00D67CB6"/>
    <w:pPr>
      <w:tabs>
        <w:tab w:val="center" w:pos="4153"/>
        <w:tab w:val="right" w:pos="8306"/>
      </w:tabs>
    </w:pPr>
  </w:style>
  <w:style w:type="character" w:customStyle="1" w:styleId="HeaderChar">
    <w:name w:val="Header Char"/>
    <w:link w:val="Header"/>
    <w:uiPriority w:val="99"/>
    <w:semiHidden/>
    <w:rsid w:val="003642DF"/>
    <w:rPr>
      <w:sz w:val="24"/>
      <w:szCs w:val="24"/>
    </w:rPr>
  </w:style>
  <w:style w:type="paragraph" w:styleId="Footer">
    <w:name w:val="footer"/>
    <w:basedOn w:val="Normal"/>
    <w:link w:val="FooterChar"/>
    <w:uiPriority w:val="99"/>
    <w:rsid w:val="00D67CB6"/>
    <w:pPr>
      <w:tabs>
        <w:tab w:val="center" w:pos="4153"/>
        <w:tab w:val="right" w:pos="8306"/>
      </w:tabs>
    </w:pPr>
  </w:style>
  <w:style w:type="character" w:customStyle="1" w:styleId="FooterChar">
    <w:name w:val="Footer Char"/>
    <w:link w:val="Footer"/>
    <w:uiPriority w:val="99"/>
    <w:locked/>
    <w:rsid w:val="001345A0"/>
    <w:rPr>
      <w:sz w:val="24"/>
    </w:rPr>
  </w:style>
  <w:style w:type="character" w:styleId="PageNumber">
    <w:name w:val="page number"/>
    <w:uiPriority w:val="99"/>
    <w:rsid w:val="00D67CB6"/>
    <w:rPr>
      <w:rFonts w:cs="Times New Roman"/>
    </w:rPr>
  </w:style>
  <w:style w:type="paragraph" w:styleId="BodyText">
    <w:name w:val="Body Text"/>
    <w:basedOn w:val="Normal"/>
    <w:link w:val="BodyTextChar"/>
    <w:uiPriority w:val="99"/>
    <w:rsid w:val="00F73F16"/>
    <w:pPr>
      <w:widowControl w:val="0"/>
    </w:pPr>
    <w:rPr>
      <w:rFonts w:ascii="Arial" w:hAnsi="Arial"/>
      <w:color w:val="000000"/>
      <w:szCs w:val="20"/>
      <w:lang w:eastAsia="en-US"/>
    </w:rPr>
  </w:style>
  <w:style w:type="character" w:customStyle="1" w:styleId="BodyTextChar">
    <w:name w:val="Body Text Char"/>
    <w:link w:val="BodyText"/>
    <w:uiPriority w:val="99"/>
    <w:semiHidden/>
    <w:rsid w:val="003642DF"/>
    <w:rPr>
      <w:sz w:val="24"/>
      <w:szCs w:val="24"/>
    </w:rPr>
  </w:style>
  <w:style w:type="paragraph" w:customStyle="1" w:styleId="TableText">
    <w:name w:val="Table Text"/>
    <w:uiPriority w:val="99"/>
    <w:rsid w:val="00F73F16"/>
    <w:pPr>
      <w:widowControl w:val="0"/>
    </w:pPr>
    <w:rPr>
      <w:color w:val="000000"/>
      <w:sz w:val="24"/>
      <w:lang w:eastAsia="en-US"/>
    </w:rPr>
  </w:style>
  <w:style w:type="paragraph" w:styleId="TOC1">
    <w:name w:val="toc 1"/>
    <w:basedOn w:val="Normal"/>
    <w:next w:val="Normal"/>
    <w:autoRedefine/>
    <w:uiPriority w:val="39"/>
    <w:rsid w:val="00357148"/>
    <w:pPr>
      <w:tabs>
        <w:tab w:val="left" w:pos="720"/>
        <w:tab w:val="right" w:leader="dot" w:pos="8296"/>
      </w:tabs>
      <w:spacing w:line="360" w:lineRule="auto"/>
      <w:ind w:left="709" w:hanging="709"/>
    </w:pPr>
    <w:rPr>
      <w:rFonts w:ascii="Arial" w:hAnsi="Arial"/>
      <w:noProof/>
    </w:rPr>
  </w:style>
  <w:style w:type="paragraph" w:customStyle="1" w:styleId="Default">
    <w:name w:val="Default"/>
    <w:uiPriority w:val="99"/>
    <w:rsid w:val="00A62EF7"/>
    <w:pPr>
      <w:autoSpaceDE w:val="0"/>
      <w:autoSpaceDN w:val="0"/>
      <w:adjustRightInd w:val="0"/>
    </w:pPr>
    <w:rPr>
      <w:rFonts w:ascii="Arial" w:hAnsi="Arial" w:cs="Arial"/>
      <w:color w:val="000000"/>
      <w:sz w:val="24"/>
      <w:szCs w:val="24"/>
    </w:rPr>
  </w:style>
  <w:style w:type="character" w:styleId="CommentReference">
    <w:name w:val="annotation reference"/>
    <w:uiPriority w:val="99"/>
    <w:rsid w:val="00C275E0"/>
    <w:rPr>
      <w:rFonts w:cs="Times New Roman"/>
      <w:sz w:val="16"/>
    </w:rPr>
  </w:style>
  <w:style w:type="paragraph" w:styleId="CommentText">
    <w:name w:val="annotation text"/>
    <w:basedOn w:val="Normal"/>
    <w:link w:val="CommentTextChar"/>
    <w:uiPriority w:val="99"/>
    <w:rsid w:val="00C275E0"/>
    <w:rPr>
      <w:szCs w:val="20"/>
    </w:rPr>
  </w:style>
  <w:style w:type="character" w:customStyle="1" w:styleId="CommentTextChar">
    <w:name w:val="Comment Text Char"/>
    <w:link w:val="CommentText"/>
    <w:uiPriority w:val="99"/>
    <w:locked/>
    <w:rsid w:val="00C275E0"/>
    <w:rPr>
      <w:rFonts w:cs="Times New Roman"/>
    </w:rPr>
  </w:style>
  <w:style w:type="paragraph" w:styleId="CommentSubject">
    <w:name w:val="annotation subject"/>
    <w:basedOn w:val="CommentText"/>
    <w:next w:val="CommentText"/>
    <w:link w:val="CommentSubjectChar"/>
    <w:uiPriority w:val="99"/>
    <w:rsid w:val="00C275E0"/>
    <w:rPr>
      <w:b/>
      <w:bCs/>
    </w:rPr>
  </w:style>
  <w:style w:type="character" w:customStyle="1" w:styleId="CommentSubjectChar">
    <w:name w:val="Comment Subject Char"/>
    <w:link w:val="CommentSubject"/>
    <w:uiPriority w:val="99"/>
    <w:locked/>
    <w:rsid w:val="00C275E0"/>
    <w:rPr>
      <w:rFonts w:cs="Times New Roman"/>
      <w:b/>
    </w:rPr>
  </w:style>
  <w:style w:type="paragraph" w:styleId="Revision">
    <w:name w:val="Revision"/>
    <w:hidden/>
    <w:uiPriority w:val="99"/>
    <w:semiHidden/>
    <w:rsid w:val="00C275E0"/>
    <w:rPr>
      <w:sz w:val="24"/>
      <w:szCs w:val="24"/>
    </w:rPr>
  </w:style>
  <w:style w:type="paragraph" w:styleId="BalloonText">
    <w:name w:val="Balloon Text"/>
    <w:basedOn w:val="Normal"/>
    <w:link w:val="BalloonTextChar"/>
    <w:uiPriority w:val="99"/>
    <w:rsid w:val="00C275E0"/>
    <w:rPr>
      <w:rFonts w:ascii="Tahoma" w:hAnsi="Tahoma"/>
      <w:sz w:val="16"/>
      <w:szCs w:val="16"/>
    </w:rPr>
  </w:style>
  <w:style w:type="character" w:customStyle="1" w:styleId="BalloonTextChar">
    <w:name w:val="Balloon Text Char"/>
    <w:link w:val="BalloonText"/>
    <w:uiPriority w:val="99"/>
    <w:locked/>
    <w:rsid w:val="00C275E0"/>
    <w:rPr>
      <w:rFonts w:ascii="Tahoma" w:hAnsi="Tahoma"/>
      <w:sz w:val="16"/>
    </w:rPr>
  </w:style>
  <w:style w:type="paragraph" w:styleId="ListParagraph">
    <w:name w:val="List Paragraph"/>
    <w:basedOn w:val="Normal"/>
    <w:uiPriority w:val="34"/>
    <w:qFormat/>
    <w:rsid w:val="00ED4584"/>
    <w:pPr>
      <w:ind w:left="720"/>
    </w:pPr>
  </w:style>
  <w:style w:type="paragraph" w:styleId="TOC2">
    <w:name w:val="toc 2"/>
    <w:basedOn w:val="Normal"/>
    <w:next w:val="Normal"/>
    <w:autoRedefine/>
    <w:uiPriority w:val="39"/>
    <w:unhideWhenUsed/>
    <w:rsid w:val="00853419"/>
    <w:pPr>
      <w:spacing w:after="100"/>
      <w:ind w:left="200"/>
    </w:pPr>
  </w:style>
  <w:style w:type="character" w:customStyle="1" w:styleId="Heading2Char">
    <w:name w:val="Heading 2 Char"/>
    <w:basedOn w:val="DefaultParagraphFont"/>
    <w:link w:val="Heading2"/>
    <w:rsid w:val="00AB2516"/>
    <w:rPr>
      <w:rFonts w:asciiTheme="minorHAnsi" w:eastAsiaTheme="majorEastAsia" w:hAnsiTheme="minorHAnsi" w:cstheme="majorBidi"/>
      <w:b/>
      <w:bCs/>
      <w:i/>
      <w:i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436630">
      <w:bodyDiv w:val="1"/>
      <w:marLeft w:val="0"/>
      <w:marRight w:val="0"/>
      <w:marTop w:val="0"/>
      <w:marBottom w:val="0"/>
      <w:divBdr>
        <w:top w:val="none" w:sz="0" w:space="0" w:color="auto"/>
        <w:left w:val="none" w:sz="0" w:space="0" w:color="auto"/>
        <w:bottom w:val="none" w:sz="0" w:space="0" w:color="auto"/>
        <w:right w:val="none" w:sz="0" w:space="0" w:color="auto"/>
      </w:divBdr>
    </w:div>
    <w:div w:id="944776310">
      <w:bodyDiv w:val="1"/>
      <w:marLeft w:val="0"/>
      <w:marRight w:val="0"/>
      <w:marTop w:val="0"/>
      <w:marBottom w:val="0"/>
      <w:divBdr>
        <w:top w:val="none" w:sz="0" w:space="0" w:color="auto"/>
        <w:left w:val="none" w:sz="0" w:space="0" w:color="auto"/>
        <w:bottom w:val="none" w:sz="0" w:space="0" w:color="auto"/>
        <w:right w:val="none" w:sz="0" w:space="0" w:color="auto"/>
      </w:divBdr>
    </w:div>
    <w:div w:id="212391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05.ibm.com/e-business/linkweb/publications/servlet/pbi.wss?SSN=17BII0001886419163&amp;FNC=PBL&amp;PBL=SC27-4796-00PBCEONLP00061890&amp;TRL=TXTSRH"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sse-sgn.emptoris.com/emptoris/sso_login.jsp"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5f27abd-a48d-4c97-9948-5ec3c0635678">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5FE68A0AB6E341A8913D8290A75843" ma:contentTypeVersion="4" ma:contentTypeDescription="Create a new document." ma:contentTypeScope="" ma:versionID="43b58f37f1533308e8eba0356f82f9da">
  <xsd:schema xmlns:xsd="http://www.w3.org/2001/XMLSchema" xmlns:xs="http://www.w3.org/2001/XMLSchema" xmlns:p="http://schemas.microsoft.com/office/2006/metadata/properties" xmlns:ns2="580175c3-b76b-4237-ba45-70580d72b8e8" xmlns:ns3="25f27abd-a48d-4c97-9948-5ec3c0635678" targetNamespace="http://schemas.microsoft.com/office/2006/metadata/properties" ma:root="true" ma:fieldsID="ba8976c07c58703cfa471ceeeba7ddf6" ns2:_="" ns3:_="">
    <xsd:import namespace="580175c3-b76b-4237-ba45-70580d72b8e8"/>
    <xsd:import namespace="25f27abd-a48d-4c97-9948-5ec3c06356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175c3-b76b-4237-ba45-70580d72b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f27abd-a48d-4c97-9948-5ec3c06356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CC9B1-9E73-4783-9DB6-1860D596907C}">
  <ds:schemaRefs>
    <ds:schemaRef ds:uri="http://schemas.microsoft.com/sharepoint/v3/contenttype/forms"/>
  </ds:schemaRefs>
</ds:datastoreItem>
</file>

<file path=customXml/itemProps2.xml><?xml version="1.0" encoding="utf-8"?>
<ds:datastoreItem xmlns:ds="http://schemas.openxmlformats.org/officeDocument/2006/customXml" ds:itemID="{7E99AB9B-0359-44FD-80A0-9F52BC7E2FF0}">
  <ds:schemaRefs>
    <ds:schemaRef ds:uri="http://schemas.microsoft.com/office/infopath/2007/PartnerControls"/>
    <ds:schemaRef ds:uri="http://purl.org/dc/elements/1.1/"/>
    <ds:schemaRef ds:uri="http://schemas.microsoft.com/office/2006/metadata/properties"/>
    <ds:schemaRef ds:uri="25f27abd-a48d-4c97-9948-5ec3c0635678"/>
    <ds:schemaRef ds:uri="580175c3-b76b-4237-ba45-70580d72b8e8"/>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ADCDE511-CDC1-45D4-B633-B56BEFE5E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175c3-b76b-4237-ba45-70580d72b8e8"/>
    <ds:schemaRef ds:uri="25f27abd-a48d-4c97-9948-5ec3c0635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61813D-42B4-4759-A138-D03E86439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1812</Words>
  <Characters>11379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SSE</Company>
  <LinksUpToDate>false</LinksUpToDate>
  <CharactersWithSpaces>13165</CharactersWithSpaces>
  <SharedDoc>false</SharedDoc>
  <HLinks>
    <vt:vector size="126" baseType="variant">
      <vt:variant>
        <vt:i4>1835059</vt:i4>
      </vt:variant>
      <vt:variant>
        <vt:i4>122</vt:i4>
      </vt:variant>
      <vt:variant>
        <vt:i4>0</vt:i4>
      </vt:variant>
      <vt:variant>
        <vt:i4>5</vt:i4>
      </vt:variant>
      <vt:variant>
        <vt:lpwstr/>
      </vt:variant>
      <vt:variant>
        <vt:lpwstr>_Toc382316368</vt:lpwstr>
      </vt:variant>
      <vt:variant>
        <vt:i4>1835059</vt:i4>
      </vt:variant>
      <vt:variant>
        <vt:i4>116</vt:i4>
      </vt:variant>
      <vt:variant>
        <vt:i4>0</vt:i4>
      </vt:variant>
      <vt:variant>
        <vt:i4>5</vt:i4>
      </vt:variant>
      <vt:variant>
        <vt:lpwstr/>
      </vt:variant>
      <vt:variant>
        <vt:lpwstr>_Toc382316367</vt:lpwstr>
      </vt:variant>
      <vt:variant>
        <vt:i4>1835059</vt:i4>
      </vt:variant>
      <vt:variant>
        <vt:i4>110</vt:i4>
      </vt:variant>
      <vt:variant>
        <vt:i4>0</vt:i4>
      </vt:variant>
      <vt:variant>
        <vt:i4>5</vt:i4>
      </vt:variant>
      <vt:variant>
        <vt:lpwstr/>
      </vt:variant>
      <vt:variant>
        <vt:lpwstr>_Toc382316366</vt:lpwstr>
      </vt:variant>
      <vt:variant>
        <vt:i4>1835059</vt:i4>
      </vt:variant>
      <vt:variant>
        <vt:i4>104</vt:i4>
      </vt:variant>
      <vt:variant>
        <vt:i4>0</vt:i4>
      </vt:variant>
      <vt:variant>
        <vt:i4>5</vt:i4>
      </vt:variant>
      <vt:variant>
        <vt:lpwstr/>
      </vt:variant>
      <vt:variant>
        <vt:lpwstr>_Toc382316365</vt:lpwstr>
      </vt:variant>
      <vt:variant>
        <vt:i4>1835059</vt:i4>
      </vt:variant>
      <vt:variant>
        <vt:i4>98</vt:i4>
      </vt:variant>
      <vt:variant>
        <vt:i4>0</vt:i4>
      </vt:variant>
      <vt:variant>
        <vt:i4>5</vt:i4>
      </vt:variant>
      <vt:variant>
        <vt:lpwstr/>
      </vt:variant>
      <vt:variant>
        <vt:lpwstr>_Toc382316364</vt:lpwstr>
      </vt:variant>
      <vt:variant>
        <vt:i4>1835059</vt:i4>
      </vt:variant>
      <vt:variant>
        <vt:i4>92</vt:i4>
      </vt:variant>
      <vt:variant>
        <vt:i4>0</vt:i4>
      </vt:variant>
      <vt:variant>
        <vt:i4>5</vt:i4>
      </vt:variant>
      <vt:variant>
        <vt:lpwstr/>
      </vt:variant>
      <vt:variant>
        <vt:lpwstr>_Toc382316363</vt:lpwstr>
      </vt:variant>
      <vt:variant>
        <vt:i4>1835059</vt:i4>
      </vt:variant>
      <vt:variant>
        <vt:i4>86</vt:i4>
      </vt:variant>
      <vt:variant>
        <vt:i4>0</vt:i4>
      </vt:variant>
      <vt:variant>
        <vt:i4>5</vt:i4>
      </vt:variant>
      <vt:variant>
        <vt:lpwstr/>
      </vt:variant>
      <vt:variant>
        <vt:lpwstr>_Toc382316362</vt:lpwstr>
      </vt:variant>
      <vt:variant>
        <vt:i4>1835059</vt:i4>
      </vt:variant>
      <vt:variant>
        <vt:i4>80</vt:i4>
      </vt:variant>
      <vt:variant>
        <vt:i4>0</vt:i4>
      </vt:variant>
      <vt:variant>
        <vt:i4>5</vt:i4>
      </vt:variant>
      <vt:variant>
        <vt:lpwstr/>
      </vt:variant>
      <vt:variant>
        <vt:lpwstr>_Toc382316361</vt:lpwstr>
      </vt:variant>
      <vt:variant>
        <vt:i4>1835059</vt:i4>
      </vt:variant>
      <vt:variant>
        <vt:i4>74</vt:i4>
      </vt:variant>
      <vt:variant>
        <vt:i4>0</vt:i4>
      </vt:variant>
      <vt:variant>
        <vt:i4>5</vt:i4>
      </vt:variant>
      <vt:variant>
        <vt:lpwstr/>
      </vt:variant>
      <vt:variant>
        <vt:lpwstr>_Toc382316360</vt:lpwstr>
      </vt:variant>
      <vt:variant>
        <vt:i4>2031667</vt:i4>
      </vt:variant>
      <vt:variant>
        <vt:i4>68</vt:i4>
      </vt:variant>
      <vt:variant>
        <vt:i4>0</vt:i4>
      </vt:variant>
      <vt:variant>
        <vt:i4>5</vt:i4>
      </vt:variant>
      <vt:variant>
        <vt:lpwstr/>
      </vt:variant>
      <vt:variant>
        <vt:lpwstr>_Toc382316359</vt:lpwstr>
      </vt:variant>
      <vt:variant>
        <vt:i4>2031667</vt:i4>
      </vt:variant>
      <vt:variant>
        <vt:i4>62</vt:i4>
      </vt:variant>
      <vt:variant>
        <vt:i4>0</vt:i4>
      </vt:variant>
      <vt:variant>
        <vt:i4>5</vt:i4>
      </vt:variant>
      <vt:variant>
        <vt:lpwstr/>
      </vt:variant>
      <vt:variant>
        <vt:lpwstr>_Toc382316358</vt:lpwstr>
      </vt:variant>
      <vt:variant>
        <vt:i4>2031667</vt:i4>
      </vt:variant>
      <vt:variant>
        <vt:i4>56</vt:i4>
      </vt:variant>
      <vt:variant>
        <vt:i4>0</vt:i4>
      </vt:variant>
      <vt:variant>
        <vt:i4>5</vt:i4>
      </vt:variant>
      <vt:variant>
        <vt:lpwstr/>
      </vt:variant>
      <vt:variant>
        <vt:lpwstr>_Toc382316357</vt:lpwstr>
      </vt:variant>
      <vt:variant>
        <vt:i4>2031667</vt:i4>
      </vt:variant>
      <vt:variant>
        <vt:i4>50</vt:i4>
      </vt:variant>
      <vt:variant>
        <vt:i4>0</vt:i4>
      </vt:variant>
      <vt:variant>
        <vt:i4>5</vt:i4>
      </vt:variant>
      <vt:variant>
        <vt:lpwstr/>
      </vt:variant>
      <vt:variant>
        <vt:lpwstr>_Toc382316356</vt:lpwstr>
      </vt:variant>
      <vt:variant>
        <vt:i4>2031667</vt:i4>
      </vt:variant>
      <vt:variant>
        <vt:i4>44</vt:i4>
      </vt:variant>
      <vt:variant>
        <vt:i4>0</vt:i4>
      </vt:variant>
      <vt:variant>
        <vt:i4>5</vt:i4>
      </vt:variant>
      <vt:variant>
        <vt:lpwstr/>
      </vt:variant>
      <vt:variant>
        <vt:lpwstr>_Toc382316355</vt:lpwstr>
      </vt:variant>
      <vt:variant>
        <vt:i4>2031667</vt:i4>
      </vt:variant>
      <vt:variant>
        <vt:i4>38</vt:i4>
      </vt:variant>
      <vt:variant>
        <vt:i4>0</vt:i4>
      </vt:variant>
      <vt:variant>
        <vt:i4>5</vt:i4>
      </vt:variant>
      <vt:variant>
        <vt:lpwstr/>
      </vt:variant>
      <vt:variant>
        <vt:lpwstr>_Toc382316354</vt:lpwstr>
      </vt:variant>
      <vt:variant>
        <vt:i4>2031667</vt:i4>
      </vt:variant>
      <vt:variant>
        <vt:i4>32</vt:i4>
      </vt:variant>
      <vt:variant>
        <vt:i4>0</vt:i4>
      </vt:variant>
      <vt:variant>
        <vt:i4>5</vt:i4>
      </vt:variant>
      <vt:variant>
        <vt:lpwstr/>
      </vt:variant>
      <vt:variant>
        <vt:lpwstr>_Toc382316353</vt:lpwstr>
      </vt:variant>
      <vt:variant>
        <vt:i4>2031667</vt:i4>
      </vt:variant>
      <vt:variant>
        <vt:i4>26</vt:i4>
      </vt:variant>
      <vt:variant>
        <vt:i4>0</vt:i4>
      </vt:variant>
      <vt:variant>
        <vt:i4>5</vt:i4>
      </vt:variant>
      <vt:variant>
        <vt:lpwstr/>
      </vt:variant>
      <vt:variant>
        <vt:lpwstr>_Toc382316352</vt:lpwstr>
      </vt:variant>
      <vt:variant>
        <vt:i4>2031667</vt:i4>
      </vt:variant>
      <vt:variant>
        <vt:i4>20</vt:i4>
      </vt:variant>
      <vt:variant>
        <vt:i4>0</vt:i4>
      </vt:variant>
      <vt:variant>
        <vt:i4>5</vt:i4>
      </vt:variant>
      <vt:variant>
        <vt:lpwstr/>
      </vt:variant>
      <vt:variant>
        <vt:lpwstr>_Toc382316351</vt:lpwstr>
      </vt:variant>
      <vt:variant>
        <vt:i4>2031667</vt:i4>
      </vt:variant>
      <vt:variant>
        <vt:i4>14</vt:i4>
      </vt:variant>
      <vt:variant>
        <vt:i4>0</vt:i4>
      </vt:variant>
      <vt:variant>
        <vt:i4>5</vt:i4>
      </vt:variant>
      <vt:variant>
        <vt:lpwstr/>
      </vt:variant>
      <vt:variant>
        <vt:lpwstr>_Toc382316350</vt:lpwstr>
      </vt:variant>
      <vt:variant>
        <vt:i4>1966131</vt:i4>
      </vt:variant>
      <vt:variant>
        <vt:i4>8</vt:i4>
      </vt:variant>
      <vt:variant>
        <vt:i4>0</vt:i4>
      </vt:variant>
      <vt:variant>
        <vt:i4>5</vt:i4>
      </vt:variant>
      <vt:variant>
        <vt:lpwstr/>
      </vt:variant>
      <vt:variant>
        <vt:lpwstr>_Toc382316349</vt:lpwstr>
      </vt:variant>
      <vt:variant>
        <vt:i4>1966131</vt:i4>
      </vt:variant>
      <vt:variant>
        <vt:i4>2</vt:i4>
      </vt:variant>
      <vt:variant>
        <vt:i4>0</vt:i4>
      </vt:variant>
      <vt:variant>
        <vt:i4>5</vt:i4>
      </vt:variant>
      <vt:variant>
        <vt:lpwstr/>
      </vt:variant>
      <vt:variant>
        <vt:lpwstr>_Toc382316348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mh43317</dc:creator>
  <cp:lastModifiedBy>Higgins, Timothy</cp:lastModifiedBy>
  <cp:revision>3</cp:revision>
  <cp:lastPrinted>2019-04-15T08:00:00Z</cp:lastPrinted>
  <dcterms:created xsi:type="dcterms:W3CDTF">2020-09-03T17:09:00Z</dcterms:created>
  <dcterms:modified xsi:type="dcterms:W3CDTF">2020-09-03T17:15:00Z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0x010100765FE68A0AB6E341A8913D8290A75843</vt:lpwstr>
  </property>
  <property fmtid="{D5CDD505-2E9C-101B-9397-08002B2CF9AE}" pid="3" name="Order">
    <vt:r8>61600</vt:r8>
  </property>
  <property fmtid="{D5CDD505-2E9C-101B-9397-08002B2CF9AE}" pid="4" name="AuthorIds_UIVersion_12288">
    <vt:lpwstr>4</vt:lpwstr>
  </property>
  <property fmtid="{D5CDD505-2E9C-101B-9397-08002B2CF9AE}" pid="5" name="ComplianceAssetId">
    <vt:lpwstr/>
  </property>
  <property fmtid="{D5CDD505-2E9C-101B-9397-08002B2CF9AE}" pid="6" name="AuthorIds_UIVersion_1024">
    <vt:lpwstr>15</vt:lpwstr>
  </property>
</Properties>
</file>