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33F0" w14:textId="77777777" w:rsidR="00C72DCE" w:rsidRPr="003F30E1" w:rsidRDefault="00C72DCE" w:rsidP="005667F4">
      <w:pPr>
        <w:pStyle w:val="Address2"/>
        <w:jc w:val="center"/>
        <w:rPr>
          <w:b/>
          <w:bCs/>
          <w:i/>
          <w:iCs/>
        </w:rPr>
      </w:pPr>
      <w:r w:rsidRPr="003F30E1">
        <w:t>Procurement &amp; Commercial</w:t>
      </w:r>
    </w:p>
    <w:p w14:paraId="111652A3" w14:textId="77777777" w:rsidR="00C72DCE" w:rsidRPr="003F30E1" w:rsidRDefault="00C72DCE" w:rsidP="00C72DCE">
      <w:pPr>
        <w:jc w:val="center"/>
        <w:rPr>
          <w:rFonts w:asciiTheme="minorHAnsi" w:hAnsiTheme="minorHAnsi"/>
          <w:sz w:val="56"/>
          <w:szCs w:val="56"/>
        </w:rPr>
      </w:pPr>
    </w:p>
    <w:p w14:paraId="206CDF87" w14:textId="033CF306" w:rsidR="00C72DCE" w:rsidRPr="003F30E1" w:rsidRDefault="00276867" w:rsidP="00C72DCE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PQQ</w:t>
      </w:r>
      <w:r w:rsidR="0056551D" w:rsidRPr="003F30E1">
        <w:rPr>
          <w:rFonts w:asciiTheme="minorHAnsi" w:hAnsiTheme="minorHAnsi"/>
          <w:sz w:val="56"/>
          <w:szCs w:val="56"/>
        </w:rPr>
        <w:t xml:space="preserve"> Attachment 2</w:t>
      </w:r>
    </w:p>
    <w:p w14:paraId="0BC80D3F" w14:textId="77777777" w:rsidR="00AF25A7" w:rsidRPr="003F30E1" w:rsidRDefault="009E3879" w:rsidP="00C72DCE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Evaluation Criteria</w:t>
      </w:r>
    </w:p>
    <w:p w14:paraId="14B0DD24" w14:textId="77777777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60206AD8" w14:textId="77777777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56AFC638" w14:textId="77777777" w:rsidR="00C72DCE" w:rsidRPr="003F30E1" w:rsidRDefault="00C72DCE" w:rsidP="00C72DCE">
      <w:pPr>
        <w:jc w:val="center"/>
        <w:rPr>
          <w:rFonts w:asciiTheme="minorHAnsi" w:hAnsiTheme="minorHAnsi"/>
        </w:rPr>
      </w:pPr>
    </w:p>
    <w:p w14:paraId="2C06EC85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0AC6763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106F5DE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3130244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B4AC286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E153DA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FEB51F7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71B434D6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95BFA38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89AEF37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7AD7E5A5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42AD928" w14:textId="77777777" w:rsidR="00F26174" w:rsidRPr="00D41E50" w:rsidRDefault="00F26174" w:rsidP="00F26174">
      <w:pPr>
        <w:jc w:val="both"/>
      </w:pPr>
    </w:p>
    <w:p w14:paraId="4AD98356" w14:textId="77777777" w:rsidR="0056551D" w:rsidRDefault="0056551D">
      <w:pPr>
        <w:spacing w:before="0" w:after="0"/>
        <w:rPr>
          <w:rFonts w:asciiTheme="minorHAnsi" w:hAnsiTheme="minorHAnsi"/>
          <w:b/>
          <w:color w:val="FF0000"/>
        </w:rPr>
      </w:pPr>
    </w:p>
    <w:p w14:paraId="15904FBD" w14:textId="77777777" w:rsidR="00F26174" w:rsidRDefault="00F26174">
      <w:pPr>
        <w:spacing w:before="0" w:after="0"/>
        <w:rPr>
          <w:rFonts w:asciiTheme="minorHAnsi" w:hAnsiTheme="minorHAnsi"/>
          <w:b/>
          <w:color w:val="FF0000"/>
        </w:rPr>
      </w:pPr>
    </w:p>
    <w:p w14:paraId="5C4FC2CD" w14:textId="77777777" w:rsidR="00F26174" w:rsidRPr="003F30E1" w:rsidRDefault="00F26174">
      <w:pPr>
        <w:spacing w:before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column"/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68200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69"/>
      </w:tblGrid>
      <w:tr w:rsidR="00002D3F" w:rsidRPr="003F30E1" w14:paraId="1343FC19" w14:textId="77777777" w:rsidTr="00162D50">
        <w:trPr>
          <w:trHeight w:val="387"/>
          <w:jc w:val="center"/>
        </w:trPr>
        <w:tc>
          <w:tcPr>
            <w:tcW w:w="9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54500FF" w14:textId="7E3A1B39" w:rsidR="00002D3F" w:rsidRPr="003F30E1" w:rsidRDefault="000617CF" w:rsidP="00433CFA">
            <w:pPr>
              <w:pStyle w:val="List2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PQQ Evaluation </w:t>
            </w:r>
            <w:r w:rsidR="0071465A">
              <w:rPr>
                <w:rFonts w:asciiTheme="minorHAnsi" w:hAnsiTheme="minorHAnsi"/>
                <w:b/>
                <w:sz w:val="22"/>
              </w:rPr>
              <w:t xml:space="preserve">Guidance &amp; </w:t>
            </w:r>
            <w:r w:rsidR="00BA7D39">
              <w:rPr>
                <w:rFonts w:asciiTheme="minorHAnsi" w:hAnsiTheme="minorHAnsi"/>
                <w:b/>
                <w:sz w:val="22"/>
              </w:rPr>
              <w:t>Methodology</w:t>
            </w:r>
          </w:p>
        </w:tc>
      </w:tr>
      <w:tr w:rsidR="007B6F47" w:rsidRPr="007B6F47" w14:paraId="0565C03E" w14:textId="77777777" w:rsidTr="00162D50">
        <w:trPr>
          <w:trHeight w:val="387"/>
          <w:jc w:val="center"/>
        </w:trPr>
        <w:tc>
          <w:tcPr>
            <w:tcW w:w="9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702D5" w14:textId="77777777" w:rsidR="0071465A" w:rsidRDefault="0071465A" w:rsidP="00F26174">
            <w:pPr>
              <w:spacing w:before="0" w:after="0"/>
              <w:ind w:left="154"/>
              <w:rPr>
                <w:color w:val="002060"/>
                <w:sz w:val="20"/>
              </w:rPr>
            </w:pPr>
          </w:p>
          <w:p w14:paraId="6870EF97" w14:textId="6ADD9D43" w:rsidR="0071465A" w:rsidRDefault="0071465A" w:rsidP="00F26174">
            <w:pPr>
              <w:spacing w:before="0" w:after="0"/>
              <w:ind w:left="154"/>
              <w:rPr>
                <w:color w:val="002060"/>
                <w:sz w:val="20"/>
              </w:rPr>
            </w:pPr>
            <w:r w:rsidRPr="00002D3F">
              <w:rPr>
                <w:color w:val="002060"/>
                <w:sz w:val="20"/>
              </w:rPr>
              <w:t>This document sets out the method that will be used to evaluate Potential Applicants and select Potential Providers resulting from this</w:t>
            </w:r>
            <w:r>
              <w:rPr>
                <w:color w:val="002060"/>
                <w:sz w:val="20"/>
              </w:rPr>
              <w:t xml:space="preserve"> Pre-Qualification Questionnaire</w:t>
            </w:r>
            <w:r w:rsidRPr="00002D3F"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(</w:t>
            </w:r>
            <w:r w:rsidRPr="00002D3F">
              <w:rPr>
                <w:color w:val="002060"/>
                <w:sz w:val="20"/>
              </w:rPr>
              <w:t>PQQ</w:t>
            </w:r>
            <w:r>
              <w:rPr>
                <w:color w:val="002060"/>
                <w:sz w:val="20"/>
              </w:rPr>
              <w:t>)</w:t>
            </w:r>
            <w:r w:rsidRPr="00002D3F">
              <w:rPr>
                <w:color w:val="002060"/>
                <w:sz w:val="20"/>
              </w:rPr>
              <w:t>.</w:t>
            </w:r>
          </w:p>
          <w:p w14:paraId="6E6AAA24" w14:textId="77777777" w:rsidR="0071465A" w:rsidRDefault="0071465A" w:rsidP="00F26174">
            <w:pPr>
              <w:spacing w:before="0" w:after="0"/>
              <w:ind w:left="154"/>
              <w:rPr>
                <w:color w:val="002060"/>
                <w:sz w:val="20"/>
              </w:rPr>
            </w:pPr>
          </w:p>
          <w:p w14:paraId="59ED9B77" w14:textId="5E3ACE1F" w:rsidR="00F727AC" w:rsidRDefault="00F727AC" w:rsidP="00F26174">
            <w:pPr>
              <w:spacing w:before="0" w:after="0"/>
              <w:ind w:left="15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In order to be considered eligible </w:t>
            </w:r>
            <w:r w:rsidR="006B0103">
              <w:rPr>
                <w:color w:val="002060"/>
                <w:sz w:val="20"/>
              </w:rPr>
              <w:t>for invitation</w:t>
            </w:r>
            <w:r>
              <w:rPr>
                <w:color w:val="002060"/>
                <w:sz w:val="20"/>
              </w:rPr>
              <w:t xml:space="preserve"> to tender, you must answer </w:t>
            </w:r>
            <w:proofErr w:type="gramStart"/>
            <w:r>
              <w:rPr>
                <w:color w:val="002060"/>
                <w:sz w:val="20"/>
              </w:rPr>
              <w:t>all of</w:t>
            </w:r>
            <w:proofErr w:type="gramEnd"/>
            <w:r>
              <w:rPr>
                <w:color w:val="002060"/>
                <w:sz w:val="20"/>
              </w:rPr>
              <w:t xml:space="preserve"> the questions provided </w:t>
            </w:r>
            <w:r w:rsidR="006B0103">
              <w:rPr>
                <w:color w:val="002060"/>
                <w:sz w:val="20"/>
              </w:rPr>
              <w:t xml:space="preserve">in the </w:t>
            </w:r>
            <w:r w:rsidR="00E75477">
              <w:rPr>
                <w:color w:val="002060"/>
                <w:sz w:val="20"/>
              </w:rPr>
              <w:t>PQQ</w:t>
            </w:r>
            <w:r w:rsidR="006B0103">
              <w:rPr>
                <w:color w:val="002060"/>
                <w:sz w:val="20"/>
              </w:rPr>
              <w:t xml:space="preserve">, </w:t>
            </w:r>
            <w:r>
              <w:rPr>
                <w:color w:val="002060"/>
                <w:sz w:val="20"/>
              </w:rPr>
              <w:t xml:space="preserve">which will be reviewed and </w:t>
            </w:r>
            <w:r w:rsidR="00545C0E">
              <w:rPr>
                <w:color w:val="002060"/>
                <w:sz w:val="20"/>
              </w:rPr>
              <w:t>marked</w:t>
            </w:r>
            <w:r>
              <w:rPr>
                <w:color w:val="002060"/>
                <w:sz w:val="20"/>
              </w:rPr>
              <w:t xml:space="preserve"> using the following methods;</w:t>
            </w:r>
          </w:p>
          <w:p w14:paraId="18D72C5B" w14:textId="7D7EE22F" w:rsidR="00F727AC" w:rsidRDefault="00F727AC" w:rsidP="00F727AC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color w:val="002060"/>
                <w:sz w:val="20"/>
              </w:rPr>
            </w:pPr>
            <w:r w:rsidRPr="005B0BB0">
              <w:rPr>
                <w:rFonts w:asciiTheme="minorHAnsi" w:hAnsiTheme="minorHAnsi"/>
                <w:b/>
                <w:color w:val="002060"/>
                <w:sz w:val="20"/>
              </w:rPr>
              <w:t>For information only</w:t>
            </w:r>
            <w:r w:rsidRPr="00F727AC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2060"/>
                <w:sz w:val="20"/>
              </w:rPr>
              <w:t>– the information is necessary for the tender process but not in any way linked to the ability of the applicant to provide the required services</w:t>
            </w:r>
            <w:r w:rsidR="002360ED">
              <w:rPr>
                <w:rFonts w:asciiTheme="minorHAnsi" w:hAnsiTheme="minorHAnsi"/>
                <w:color w:val="002060"/>
                <w:sz w:val="20"/>
              </w:rPr>
              <w:t xml:space="preserve"> and as such does not contribute towards the scoring.</w:t>
            </w:r>
          </w:p>
          <w:p w14:paraId="394A48E0" w14:textId="4860C071" w:rsidR="00F727AC" w:rsidRDefault="00F727AC" w:rsidP="00F727AC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color w:val="002060"/>
                <w:sz w:val="20"/>
              </w:rPr>
            </w:pPr>
            <w:r w:rsidRPr="005B0BB0">
              <w:rPr>
                <w:rFonts w:asciiTheme="minorHAnsi" w:hAnsiTheme="minorHAnsi"/>
                <w:b/>
                <w:color w:val="002060"/>
                <w:sz w:val="20"/>
              </w:rPr>
              <w:t>Pass / Fail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– these questions addres</w:t>
            </w:r>
            <w:r w:rsidR="00621DA2">
              <w:rPr>
                <w:rFonts w:asciiTheme="minorHAnsi" w:hAnsiTheme="minorHAnsi"/>
                <w:color w:val="002060"/>
                <w:sz w:val="20"/>
              </w:rPr>
              <w:t xml:space="preserve">s minimum standards that must be met in order to be considered for providing the services. These questions are not scored, </w:t>
            </w:r>
            <w:r w:rsidR="00BA7D39">
              <w:rPr>
                <w:rFonts w:asciiTheme="minorHAnsi" w:hAnsiTheme="minorHAnsi"/>
                <w:color w:val="002060"/>
                <w:sz w:val="20"/>
              </w:rPr>
              <w:t>they are evaluated on a ‘Pass’ or ‘Fail’ basis only.</w:t>
            </w:r>
          </w:p>
          <w:p w14:paraId="65058650" w14:textId="1ECD8FE4" w:rsidR="00621DA2" w:rsidRPr="00EC3046" w:rsidRDefault="00621DA2" w:rsidP="00F727AC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color w:val="002060"/>
                <w:sz w:val="20"/>
              </w:rPr>
            </w:pPr>
            <w:r w:rsidRPr="005B0BB0">
              <w:rPr>
                <w:rFonts w:asciiTheme="minorHAnsi" w:hAnsiTheme="minorHAnsi"/>
                <w:b/>
                <w:color w:val="002060"/>
                <w:sz w:val="20"/>
              </w:rPr>
              <w:t xml:space="preserve">Scored / </w:t>
            </w:r>
            <w:r w:rsidR="00BA7D39">
              <w:rPr>
                <w:rFonts w:asciiTheme="minorHAnsi" w:hAnsiTheme="minorHAnsi"/>
                <w:b/>
                <w:color w:val="002060"/>
                <w:sz w:val="20"/>
              </w:rPr>
              <w:t>W</w:t>
            </w:r>
            <w:r w:rsidRPr="005B0BB0">
              <w:rPr>
                <w:rFonts w:asciiTheme="minorHAnsi" w:hAnsiTheme="minorHAnsi"/>
                <w:b/>
                <w:color w:val="002060"/>
                <w:sz w:val="20"/>
              </w:rPr>
              <w:t>eighted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– these questions </w:t>
            </w:r>
            <w:r w:rsidR="0091301B">
              <w:rPr>
                <w:rFonts w:asciiTheme="minorHAnsi" w:hAnsiTheme="minorHAnsi"/>
                <w:color w:val="002060"/>
                <w:sz w:val="20"/>
              </w:rPr>
              <w:t>require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a qualitative or quantitative response</w:t>
            </w:r>
            <w:r w:rsidR="0091301B">
              <w:rPr>
                <w:rFonts w:asciiTheme="minorHAnsi" w:hAnsiTheme="minorHAnsi"/>
                <w:color w:val="002060"/>
                <w:sz w:val="20"/>
              </w:rPr>
              <w:t xml:space="preserve"> from the applicant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which marked by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the evaluators based on the requirements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of the contract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. The available </w:t>
            </w:r>
            <w:r w:rsidR="00545C0E">
              <w:rPr>
                <w:rFonts w:asciiTheme="minorHAnsi" w:hAnsiTheme="minorHAnsi"/>
                <w:color w:val="002060"/>
                <w:sz w:val="20"/>
              </w:rPr>
              <w:t>mark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and associated </w:t>
            </w:r>
            <w:r w:rsidRPr="00EC3046">
              <w:rPr>
                <w:rFonts w:asciiTheme="minorHAnsi" w:hAnsiTheme="minorHAnsi"/>
                <w:color w:val="002060"/>
                <w:sz w:val="20"/>
              </w:rPr>
              <w:t xml:space="preserve">justification </w:t>
            </w:r>
            <w:r w:rsidR="008631D6">
              <w:rPr>
                <w:rFonts w:asciiTheme="minorHAnsi" w:hAnsiTheme="minorHAnsi"/>
                <w:color w:val="002060"/>
                <w:sz w:val="20"/>
              </w:rPr>
              <w:t>are</w:t>
            </w:r>
            <w:r w:rsidRPr="00EC3046">
              <w:rPr>
                <w:rFonts w:asciiTheme="minorHAnsi" w:hAnsiTheme="minorHAnsi"/>
                <w:color w:val="002060"/>
                <w:sz w:val="20"/>
              </w:rPr>
              <w:t xml:space="preserve"> detailed below in table </w:t>
            </w:r>
            <w:r w:rsidR="005B0BB0" w:rsidRPr="00EC3046">
              <w:rPr>
                <w:rFonts w:asciiTheme="minorHAnsi" w:hAnsiTheme="minorHAnsi"/>
                <w:color w:val="002060"/>
                <w:sz w:val="20"/>
              </w:rPr>
              <w:t>1</w:t>
            </w:r>
            <w:r w:rsidRPr="00EC3046">
              <w:rPr>
                <w:rFonts w:asciiTheme="minorHAnsi" w:hAnsiTheme="minorHAnsi"/>
                <w:color w:val="002060"/>
                <w:sz w:val="20"/>
              </w:rPr>
              <w:t>.</w:t>
            </w:r>
          </w:p>
          <w:p w14:paraId="686E28B8" w14:textId="1EC6106A" w:rsidR="005B0BB0" w:rsidRPr="00EC3046" w:rsidRDefault="005B0BB0" w:rsidP="005B0BB0">
            <w:pPr>
              <w:spacing w:before="0" w:after="0"/>
              <w:rPr>
                <w:rFonts w:asciiTheme="minorHAnsi" w:hAnsiTheme="minorHAnsi"/>
                <w:color w:val="002060"/>
                <w:sz w:val="20"/>
              </w:rPr>
            </w:pPr>
          </w:p>
          <w:p w14:paraId="2F708501" w14:textId="3C3C3779" w:rsidR="005B0BB0" w:rsidRDefault="00243A7C" w:rsidP="005B0BB0">
            <w:pPr>
              <w:spacing w:before="0" w:after="0"/>
              <w:ind w:left="150"/>
              <w:rPr>
                <w:rFonts w:asciiTheme="minorHAnsi" w:hAnsiTheme="minorHAnsi"/>
                <w:color w:val="002060"/>
                <w:sz w:val="20"/>
              </w:rPr>
            </w:pPr>
            <w:r w:rsidRPr="00EC3046">
              <w:rPr>
                <w:rFonts w:asciiTheme="minorHAnsi" w:hAnsiTheme="minorHAnsi"/>
                <w:color w:val="002060"/>
                <w:sz w:val="20"/>
              </w:rPr>
              <w:t xml:space="preserve">The </w:t>
            </w:r>
            <w:r w:rsidR="00545C0E" w:rsidRPr="00EC3046">
              <w:rPr>
                <w:rFonts w:asciiTheme="minorHAnsi" w:hAnsiTheme="minorHAnsi"/>
                <w:color w:val="002060"/>
                <w:sz w:val="20"/>
              </w:rPr>
              <w:t>marks</w:t>
            </w:r>
            <w:r w:rsidRPr="00EC3046">
              <w:rPr>
                <w:rFonts w:asciiTheme="minorHAnsi" w:hAnsiTheme="minorHAnsi"/>
                <w:color w:val="002060"/>
                <w:sz w:val="20"/>
              </w:rPr>
              <w:t xml:space="preserve"> awarded to the Scored / Weighted </w:t>
            </w:r>
            <w:r w:rsidR="00BA7D39" w:rsidRPr="00EC3046">
              <w:rPr>
                <w:rFonts w:asciiTheme="minorHAnsi" w:hAnsiTheme="minorHAnsi"/>
                <w:color w:val="002060"/>
                <w:sz w:val="20"/>
              </w:rPr>
              <w:t>questions are then subject to a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n overall</w:t>
            </w:r>
            <w:r w:rsidR="00BA7D39" w:rsidRPr="00EC3046">
              <w:rPr>
                <w:rFonts w:asciiTheme="minorHAnsi" w:hAnsiTheme="minorHAnsi"/>
                <w:color w:val="002060"/>
                <w:sz w:val="20"/>
              </w:rPr>
              <w:t xml:space="preserve"> weighting as detailed </w:t>
            </w:r>
            <w:r w:rsidR="000D1552">
              <w:rPr>
                <w:rFonts w:asciiTheme="minorHAnsi" w:hAnsiTheme="minorHAnsi"/>
                <w:color w:val="002060"/>
                <w:sz w:val="20"/>
              </w:rPr>
              <w:t>within the attached</w:t>
            </w:r>
            <w:r w:rsidR="00CD684E">
              <w:rPr>
                <w:rFonts w:asciiTheme="minorHAnsi" w:hAnsiTheme="minorHAnsi"/>
                <w:color w:val="002060"/>
                <w:sz w:val="20"/>
              </w:rPr>
              <w:t xml:space="preserve"> “6.</w:t>
            </w:r>
            <w:r w:rsidR="000D1552">
              <w:rPr>
                <w:rFonts w:asciiTheme="minorHAnsi" w:hAnsiTheme="minorHAnsi"/>
                <w:color w:val="002060"/>
                <w:sz w:val="20"/>
              </w:rPr>
              <w:t xml:space="preserve"> PQQ document</w:t>
            </w:r>
            <w:r w:rsidR="00CD684E">
              <w:rPr>
                <w:rFonts w:asciiTheme="minorHAnsi" w:hAnsiTheme="minorHAnsi"/>
                <w:color w:val="002060"/>
                <w:sz w:val="20"/>
              </w:rPr>
              <w:t>”</w:t>
            </w:r>
            <w:r w:rsidR="00BA7D39" w:rsidRPr="00EC3046">
              <w:rPr>
                <w:rFonts w:asciiTheme="minorHAnsi" w:hAnsiTheme="minorHAnsi"/>
                <w:color w:val="002060"/>
                <w:sz w:val="20"/>
              </w:rPr>
              <w:t>. The weightings applied to the questions reflect their importance to the project from the perspective of</w:t>
            </w:r>
            <w:r w:rsidR="00BA7D39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the Authority</w:t>
            </w:r>
            <w:r w:rsidR="006A1911">
              <w:rPr>
                <w:rFonts w:asciiTheme="minorHAnsi" w:hAnsiTheme="minorHAnsi"/>
                <w:color w:val="002060"/>
                <w:sz w:val="20"/>
              </w:rPr>
              <w:t xml:space="preserve"> and</w:t>
            </w:r>
            <w:r w:rsidR="002A0090">
              <w:rPr>
                <w:rFonts w:asciiTheme="minorHAnsi" w:hAnsiTheme="minorHAnsi"/>
                <w:color w:val="002060"/>
                <w:sz w:val="20"/>
              </w:rPr>
              <w:t xml:space="preserve"> will</w:t>
            </w:r>
            <w:r w:rsidR="00BA7D39">
              <w:rPr>
                <w:rFonts w:asciiTheme="minorHAnsi" w:hAnsiTheme="minorHAnsi"/>
                <w:color w:val="002060"/>
                <w:sz w:val="20"/>
              </w:rPr>
              <w:t xml:space="preserve"> result in an overall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 xml:space="preserve">weighted </w:t>
            </w:r>
            <w:r w:rsidR="00BA7D39">
              <w:rPr>
                <w:rFonts w:asciiTheme="minorHAnsi" w:hAnsiTheme="minorHAnsi"/>
                <w:color w:val="002060"/>
                <w:sz w:val="20"/>
              </w:rPr>
              <w:t>score out of 100</w:t>
            </w:r>
            <w:r w:rsidR="00F86AB6">
              <w:rPr>
                <w:rFonts w:asciiTheme="minorHAnsi" w:hAnsiTheme="minorHAnsi"/>
                <w:color w:val="002060"/>
                <w:sz w:val="20"/>
              </w:rPr>
              <w:t xml:space="preserve"> for each PQQ submitted</w:t>
            </w:r>
            <w:r w:rsidR="00BA7D39">
              <w:rPr>
                <w:rFonts w:asciiTheme="minorHAnsi" w:hAnsiTheme="minorHAnsi"/>
                <w:color w:val="002060"/>
                <w:sz w:val="20"/>
              </w:rPr>
              <w:t>.</w:t>
            </w:r>
            <w:r w:rsidR="00746728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</w:p>
          <w:p w14:paraId="20E5A96C" w14:textId="25A15CB1" w:rsidR="00380A99" w:rsidRDefault="00380A99" w:rsidP="005B0BB0">
            <w:pPr>
              <w:spacing w:before="0" w:after="0"/>
              <w:ind w:left="150"/>
              <w:rPr>
                <w:rFonts w:asciiTheme="minorHAnsi" w:hAnsiTheme="minorHAnsi"/>
                <w:color w:val="002060"/>
                <w:sz w:val="20"/>
              </w:rPr>
            </w:pPr>
          </w:p>
          <w:p w14:paraId="5B20E213" w14:textId="7B20CBAF" w:rsidR="00380A99" w:rsidRPr="007B6F47" w:rsidRDefault="00380A99" w:rsidP="00380A99">
            <w:pPr>
              <w:spacing w:before="0" w:after="0"/>
              <w:ind w:left="154"/>
              <w:jc w:val="both"/>
              <w:rPr>
                <w:color w:val="002060"/>
                <w:sz w:val="20"/>
              </w:rPr>
            </w:pPr>
            <w:r w:rsidRPr="006A1911">
              <w:rPr>
                <w:color w:val="002060"/>
                <w:sz w:val="20"/>
              </w:rPr>
              <w:t>The questions will be marked using a</w:t>
            </w:r>
            <w:r w:rsidR="006A1911">
              <w:rPr>
                <w:color w:val="002060"/>
                <w:sz w:val="20"/>
              </w:rPr>
              <w:t xml:space="preserve"> moderated</w:t>
            </w:r>
            <w:r w:rsidRPr="006A1911">
              <w:rPr>
                <w:color w:val="002060"/>
                <w:sz w:val="20"/>
              </w:rPr>
              <w:t xml:space="preserve"> average mark from</w:t>
            </w:r>
            <w:r w:rsidR="00700B70">
              <w:rPr>
                <w:color w:val="002060"/>
                <w:sz w:val="20"/>
              </w:rPr>
              <w:t xml:space="preserve"> at least</w:t>
            </w:r>
            <w:r w:rsidRPr="006A1911">
              <w:rPr>
                <w:color w:val="002060"/>
                <w:sz w:val="20"/>
              </w:rPr>
              <w:t xml:space="preserve"> </w:t>
            </w:r>
            <w:r w:rsidR="006A1911" w:rsidRPr="006A1911">
              <w:rPr>
                <w:color w:val="002060"/>
                <w:sz w:val="20"/>
              </w:rPr>
              <w:t>2</w:t>
            </w:r>
            <w:r w:rsidRPr="006A1911">
              <w:rPr>
                <w:color w:val="002060"/>
                <w:sz w:val="20"/>
              </w:rPr>
              <w:t xml:space="preserve"> evaluators, unless</w:t>
            </w:r>
            <w:r w:rsidRPr="007B6F47">
              <w:rPr>
                <w:color w:val="002060"/>
                <w:sz w:val="20"/>
              </w:rPr>
              <w:t xml:space="preserve"> stated otherwise. </w:t>
            </w:r>
            <w:r w:rsidR="006A1911">
              <w:rPr>
                <w:color w:val="002060"/>
                <w:sz w:val="20"/>
              </w:rPr>
              <w:t>Where the individual marks awarded are identified to be significantly different, a moderated discussion will be held to address the difference in scoring.</w:t>
            </w:r>
          </w:p>
          <w:p w14:paraId="3A6DBE94" w14:textId="77777777" w:rsidR="00380A99" w:rsidRDefault="00380A99" w:rsidP="005B0BB0">
            <w:pPr>
              <w:spacing w:before="0" w:after="0"/>
              <w:ind w:left="150"/>
              <w:rPr>
                <w:rFonts w:asciiTheme="minorHAnsi" w:hAnsiTheme="minorHAnsi"/>
                <w:color w:val="002060"/>
                <w:sz w:val="20"/>
              </w:rPr>
            </w:pPr>
          </w:p>
          <w:p w14:paraId="7C25A255" w14:textId="38E0009E" w:rsidR="00BC08A8" w:rsidRDefault="00545C0E" w:rsidP="005B0BB0">
            <w:pPr>
              <w:spacing w:before="0" w:after="0"/>
              <w:ind w:left="150"/>
              <w:rPr>
                <w:rFonts w:asciiTheme="minorHAnsi" w:hAnsiTheme="minorHAnsi"/>
                <w:color w:val="002060"/>
                <w:sz w:val="20"/>
              </w:rPr>
            </w:pPr>
            <w:r>
              <w:rPr>
                <w:rFonts w:asciiTheme="minorHAnsi" w:hAnsiTheme="minorHAnsi"/>
                <w:color w:val="002060"/>
                <w:sz w:val="20"/>
              </w:rPr>
              <w:t>PQQ r</w:t>
            </w:r>
            <w:r w:rsidR="00BC08A8">
              <w:rPr>
                <w:rFonts w:asciiTheme="minorHAnsi" w:hAnsiTheme="minorHAnsi"/>
                <w:color w:val="002060"/>
                <w:sz w:val="20"/>
              </w:rPr>
              <w:t>esponses will be deemed to have failed the evaluation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 where</w:t>
            </w:r>
            <w:r w:rsidR="00BC08A8">
              <w:rPr>
                <w:rFonts w:asciiTheme="minorHAnsi" w:hAnsiTheme="minorHAnsi"/>
                <w:color w:val="002060"/>
                <w:sz w:val="20"/>
              </w:rPr>
              <w:t>;</w:t>
            </w:r>
          </w:p>
          <w:p w14:paraId="46F59D8E" w14:textId="6B929D56" w:rsidR="00BA7D39" w:rsidRPr="00BC08A8" w:rsidRDefault="00BA7D39" w:rsidP="00BC08A8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Theme="minorHAnsi" w:hAnsiTheme="minorHAnsi"/>
                <w:color w:val="002060"/>
                <w:sz w:val="20"/>
              </w:rPr>
            </w:pPr>
            <w:r w:rsidRPr="00BC08A8">
              <w:rPr>
                <w:rFonts w:asciiTheme="minorHAnsi" w:hAnsiTheme="minorHAnsi"/>
                <w:color w:val="002060"/>
                <w:sz w:val="20"/>
              </w:rPr>
              <w:t>Any</w:t>
            </w:r>
            <w:r w:rsidR="00F86AB6">
              <w:rPr>
                <w:rFonts w:asciiTheme="minorHAnsi" w:hAnsiTheme="minorHAnsi"/>
                <w:color w:val="002060"/>
                <w:sz w:val="20"/>
              </w:rPr>
              <w:t xml:space="preserve"> PQQ</w:t>
            </w: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 submission that achieve</w:t>
            </w:r>
            <w:r w:rsidR="00545C0E">
              <w:rPr>
                <w:rFonts w:asciiTheme="minorHAnsi" w:hAnsiTheme="minorHAnsi"/>
                <w:color w:val="002060"/>
                <w:sz w:val="20"/>
              </w:rPr>
              <w:t>s</w:t>
            </w: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 a total evaluated score of less than 50 out of 100 will be deemed of insufficient standard to be invited to tender.</w:t>
            </w:r>
          </w:p>
          <w:p w14:paraId="37C8AF60" w14:textId="5BAE6546" w:rsidR="00BA7D39" w:rsidRPr="00BC08A8" w:rsidRDefault="00BA7D39" w:rsidP="00BC08A8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Theme="minorHAnsi" w:hAnsiTheme="minorHAnsi"/>
                <w:color w:val="002060"/>
                <w:sz w:val="20"/>
              </w:rPr>
            </w:pP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Any Pass / Fail questions that are assessed as ‘Fail’ will result in your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application</w:t>
            </w: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 being rejected and </w:t>
            </w:r>
            <w:r w:rsidR="00F86AB6">
              <w:rPr>
                <w:rFonts w:asciiTheme="minorHAnsi" w:hAnsiTheme="minorHAnsi"/>
                <w:color w:val="002060"/>
                <w:sz w:val="20"/>
              </w:rPr>
              <w:t>your organisation</w:t>
            </w: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would</w:t>
            </w: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 not be eligible for invitation to tender.</w:t>
            </w:r>
          </w:p>
          <w:p w14:paraId="585D2E02" w14:textId="7535C990" w:rsidR="00697623" w:rsidRPr="00BC08A8" w:rsidRDefault="00697623" w:rsidP="00BC08A8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Theme="minorHAnsi" w:hAnsiTheme="minorHAnsi"/>
                <w:color w:val="002060"/>
                <w:sz w:val="20"/>
              </w:rPr>
            </w:pP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Any Scored / Weighted questions that are </w:t>
            </w:r>
            <w:r w:rsidR="00545C0E">
              <w:rPr>
                <w:rFonts w:asciiTheme="minorHAnsi" w:hAnsiTheme="minorHAnsi"/>
                <w:color w:val="002060"/>
                <w:sz w:val="20"/>
              </w:rPr>
              <w:t>marked</w:t>
            </w:r>
            <w:r w:rsidRPr="00BC08A8">
              <w:rPr>
                <w:rFonts w:asciiTheme="minorHAnsi" w:hAnsiTheme="minorHAnsi"/>
                <w:color w:val="002060"/>
                <w:sz w:val="20"/>
              </w:rPr>
              <w:t xml:space="preserve"> zero </w:t>
            </w:r>
            <w:r w:rsidR="00BC08A8" w:rsidRPr="00BC08A8">
              <w:rPr>
                <w:rFonts w:asciiTheme="minorHAnsi" w:hAnsiTheme="minorHAnsi"/>
                <w:color w:val="002060"/>
                <w:sz w:val="20"/>
              </w:rPr>
              <w:t xml:space="preserve">will result in your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application</w:t>
            </w:r>
            <w:r w:rsidR="00BC08A8" w:rsidRPr="00BC08A8">
              <w:rPr>
                <w:rFonts w:asciiTheme="minorHAnsi" w:hAnsiTheme="minorHAnsi"/>
                <w:color w:val="002060"/>
                <w:sz w:val="20"/>
              </w:rPr>
              <w:t xml:space="preserve"> being rejected and </w:t>
            </w:r>
            <w:r w:rsidR="00F86AB6">
              <w:rPr>
                <w:rFonts w:asciiTheme="minorHAnsi" w:hAnsiTheme="minorHAnsi"/>
                <w:color w:val="002060"/>
                <w:sz w:val="20"/>
              </w:rPr>
              <w:t>your organisation</w:t>
            </w:r>
            <w:r w:rsidR="00BC08A8" w:rsidRPr="00BC08A8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r w:rsidR="00700B70">
              <w:rPr>
                <w:rFonts w:asciiTheme="minorHAnsi" w:hAnsiTheme="minorHAnsi"/>
                <w:color w:val="002060"/>
                <w:sz w:val="20"/>
              </w:rPr>
              <w:t>would</w:t>
            </w:r>
            <w:r w:rsidR="00BC08A8" w:rsidRPr="00BC08A8">
              <w:rPr>
                <w:rFonts w:asciiTheme="minorHAnsi" w:hAnsiTheme="minorHAnsi"/>
                <w:color w:val="002060"/>
                <w:sz w:val="20"/>
              </w:rPr>
              <w:t xml:space="preserve"> not be eligible for invitation to tender.</w:t>
            </w:r>
          </w:p>
          <w:p w14:paraId="30F015E8" w14:textId="295E9E49" w:rsidR="00F727AC" w:rsidRDefault="00F727AC" w:rsidP="00F26174">
            <w:pPr>
              <w:spacing w:before="0" w:after="0"/>
              <w:ind w:left="154"/>
              <w:rPr>
                <w:color w:val="002060"/>
                <w:sz w:val="20"/>
              </w:rPr>
            </w:pPr>
          </w:p>
          <w:p w14:paraId="1C6B5DCD" w14:textId="39C001ED" w:rsidR="00BC08A8" w:rsidRDefault="00CB525F" w:rsidP="00B12C11">
            <w:pPr>
              <w:spacing w:before="0" w:after="0"/>
              <w:ind w:left="15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The score out of 100 will then be used as the basis of a rank</w:t>
            </w:r>
            <w:r w:rsidR="0062609E">
              <w:rPr>
                <w:color w:val="002060"/>
                <w:sz w:val="20"/>
              </w:rPr>
              <w:t xml:space="preserve"> against which </w:t>
            </w:r>
            <w:r w:rsidR="00FC5029">
              <w:rPr>
                <w:color w:val="002060"/>
                <w:sz w:val="20"/>
              </w:rPr>
              <w:t>applicant will be ranked for consideration for Invitation to Tender.</w:t>
            </w:r>
            <w:r w:rsidR="00B12C11">
              <w:rPr>
                <w:color w:val="002060"/>
                <w:sz w:val="20"/>
              </w:rPr>
              <w:t xml:space="preserve"> T</w:t>
            </w:r>
            <w:bookmarkStart w:id="0" w:name="_GoBack"/>
            <w:bookmarkEnd w:id="0"/>
            <w:r w:rsidR="00330031">
              <w:rPr>
                <w:color w:val="002060"/>
                <w:sz w:val="20"/>
              </w:rPr>
              <w:t>he Authority anticipates inviting at least 5</w:t>
            </w:r>
            <w:r w:rsidR="00BC08A8">
              <w:rPr>
                <w:color w:val="002060"/>
                <w:sz w:val="20"/>
              </w:rPr>
              <w:t xml:space="preserve"> applications that have passed the above criteria to tender</w:t>
            </w:r>
            <w:r w:rsidR="00330031">
              <w:rPr>
                <w:color w:val="002060"/>
                <w:sz w:val="20"/>
              </w:rPr>
              <w:t xml:space="preserve"> stage</w:t>
            </w:r>
            <w:r w:rsidR="00BC08A8">
              <w:rPr>
                <w:color w:val="002060"/>
                <w:sz w:val="20"/>
              </w:rPr>
              <w:t>, where the detail o</w:t>
            </w:r>
            <w:r w:rsidR="003C55F3">
              <w:rPr>
                <w:color w:val="002060"/>
                <w:sz w:val="20"/>
              </w:rPr>
              <w:t>f</w:t>
            </w:r>
            <w:r w:rsidR="00BC08A8">
              <w:rPr>
                <w:color w:val="002060"/>
                <w:sz w:val="20"/>
              </w:rPr>
              <w:t xml:space="preserve"> your proposal in terms of Technical and Commercial criteria will be</w:t>
            </w:r>
            <w:r w:rsidR="003C55F3">
              <w:rPr>
                <w:color w:val="002060"/>
                <w:sz w:val="20"/>
              </w:rPr>
              <w:t xml:space="preserve"> invited and</w:t>
            </w:r>
            <w:r w:rsidR="00BC08A8">
              <w:rPr>
                <w:color w:val="002060"/>
                <w:sz w:val="20"/>
              </w:rPr>
              <w:t xml:space="preserve"> assessed. </w:t>
            </w:r>
          </w:p>
          <w:p w14:paraId="714BD636" w14:textId="1FBEF436" w:rsidR="007B6F47" w:rsidRPr="007B6F47" w:rsidRDefault="0030410F" w:rsidP="009D2E57">
            <w:pPr>
              <w:spacing w:before="0" w:after="0"/>
              <w:jc w:val="both"/>
              <w:rPr>
                <w:rFonts w:asciiTheme="minorHAnsi" w:hAnsiTheme="minorHAnsi"/>
                <w:b/>
                <w:sz w:val="20"/>
              </w:rPr>
            </w:pPr>
            <w:r w:rsidRPr="0030410F">
              <w:rPr>
                <w:color w:val="002060"/>
                <w:sz w:val="20"/>
              </w:rPr>
              <w:t xml:space="preserve"> </w:t>
            </w:r>
          </w:p>
        </w:tc>
      </w:tr>
    </w:tbl>
    <w:p w14:paraId="257BDD5D" w14:textId="77777777" w:rsidR="009D2E57" w:rsidRDefault="009D2E57" w:rsidP="009D2E57">
      <w:pPr>
        <w:spacing w:before="0" w:after="0"/>
        <w:ind w:left="154"/>
        <w:jc w:val="both"/>
        <w:rPr>
          <w:color w:val="002060"/>
          <w:sz w:val="20"/>
        </w:rPr>
      </w:pPr>
    </w:p>
    <w:p w14:paraId="30CED96B" w14:textId="77777777" w:rsidR="009D2E57" w:rsidRDefault="009D2E57">
      <w:pPr>
        <w:spacing w:before="0" w:after="0"/>
        <w:rPr>
          <w:color w:val="002060"/>
          <w:sz w:val="20"/>
        </w:rPr>
      </w:pPr>
      <w:r>
        <w:rPr>
          <w:color w:val="002060"/>
          <w:sz w:val="20"/>
        </w:rPr>
        <w:br w:type="page"/>
      </w:r>
    </w:p>
    <w:p w14:paraId="3FBD72FF" w14:textId="1BE81087" w:rsidR="009D2E57" w:rsidRPr="00F86AB6" w:rsidRDefault="009D2E57" w:rsidP="009D2E57">
      <w:pPr>
        <w:spacing w:before="0" w:after="0"/>
        <w:ind w:left="154"/>
        <w:jc w:val="both"/>
        <w:rPr>
          <w:color w:val="002060"/>
          <w:sz w:val="20"/>
        </w:rPr>
      </w:pPr>
      <w:r w:rsidRPr="00F86AB6">
        <w:rPr>
          <w:color w:val="002060"/>
          <w:sz w:val="20"/>
        </w:rPr>
        <w:lastRenderedPageBreak/>
        <w:t>Table 1</w:t>
      </w:r>
      <w:r>
        <w:rPr>
          <w:color w:val="002060"/>
          <w:sz w:val="20"/>
        </w:rPr>
        <w:t xml:space="preserve"> – Available marks &amp; justification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9624"/>
      </w:tblGrid>
      <w:tr w:rsidR="009D2E57" w:rsidRPr="0030410F" w14:paraId="623AF032" w14:textId="77777777" w:rsidTr="00B544DF">
        <w:trPr>
          <w:trHeight w:val="567"/>
        </w:trPr>
        <w:tc>
          <w:tcPr>
            <w:tcW w:w="1036" w:type="dxa"/>
            <w:shd w:val="clear" w:color="auto" w:fill="808080" w:themeFill="background1" w:themeFillShade="80"/>
            <w:vAlign w:val="center"/>
          </w:tcPr>
          <w:p w14:paraId="61F18304" w14:textId="77777777" w:rsidR="009D2E57" w:rsidRPr="00162D50" w:rsidRDefault="009D2E57" w:rsidP="00433CFA">
            <w:pPr>
              <w:rPr>
                <w:b/>
                <w:color w:val="auto"/>
                <w:sz w:val="20"/>
              </w:rPr>
            </w:pPr>
            <w:r w:rsidRPr="00162D50">
              <w:rPr>
                <w:b/>
                <w:color w:val="auto"/>
                <w:sz w:val="20"/>
              </w:rPr>
              <w:t>Mark</w:t>
            </w:r>
          </w:p>
        </w:tc>
        <w:tc>
          <w:tcPr>
            <w:tcW w:w="9624" w:type="dxa"/>
            <w:shd w:val="clear" w:color="auto" w:fill="808080" w:themeFill="background1" w:themeFillShade="80"/>
            <w:vAlign w:val="center"/>
          </w:tcPr>
          <w:p w14:paraId="093C1D41" w14:textId="77777777" w:rsidR="009D2E57" w:rsidRPr="00162D50" w:rsidRDefault="009D2E57" w:rsidP="00433CFA">
            <w:pPr>
              <w:rPr>
                <w:b/>
                <w:color w:val="auto"/>
                <w:sz w:val="20"/>
              </w:rPr>
            </w:pPr>
            <w:r w:rsidRPr="00162D50">
              <w:rPr>
                <w:b/>
                <w:color w:val="auto"/>
                <w:sz w:val="20"/>
              </w:rPr>
              <w:t>Guidance</w:t>
            </w:r>
          </w:p>
        </w:tc>
      </w:tr>
      <w:tr w:rsidR="009D2E57" w:rsidRPr="0030410F" w14:paraId="5651BB48" w14:textId="77777777" w:rsidTr="00B544DF">
        <w:trPr>
          <w:trHeight w:val="567"/>
        </w:trPr>
        <w:tc>
          <w:tcPr>
            <w:tcW w:w="1036" w:type="dxa"/>
            <w:vAlign w:val="center"/>
          </w:tcPr>
          <w:p w14:paraId="0A1DA71A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100</w:t>
            </w:r>
          </w:p>
        </w:tc>
        <w:tc>
          <w:tcPr>
            <w:tcW w:w="9624" w:type="dxa"/>
            <w:vAlign w:val="center"/>
          </w:tcPr>
          <w:p w14:paraId="2EA04A5E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 xml:space="preserve">Exceptional response – fully meets the specification, demonstrates added value with no errors, weaknesses or omissions. </w:t>
            </w:r>
          </w:p>
        </w:tc>
      </w:tr>
      <w:tr w:rsidR="009D2E57" w:rsidRPr="0030410F" w14:paraId="7A08101A" w14:textId="77777777" w:rsidTr="00B544DF">
        <w:trPr>
          <w:trHeight w:val="567"/>
        </w:trPr>
        <w:tc>
          <w:tcPr>
            <w:tcW w:w="1036" w:type="dxa"/>
            <w:vAlign w:val="center"/>
          </w:tcPr>
          <w:p w14:paraId="188AAFC5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 xml:space="preserve">80 </w:t>
            </w:r>
          </w:p>
        </w:tc>
        <w:tc>
          <w:tcPr>
            <w:tcW w:w="9624" w:type="dxa"/>
            <w:vAlign w:val="center"/>
          </w:tcPr>
          <w:p w14:paraId="1B85E0A6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Superior response – Some minor errors, risks, weaknesses or omissions from the specification which may be acceptable as offered. Demonstrates some added value.</w:t>
            </w:r>
          </w:p>
        </w:tc>
      </w:tr>
      <w:tr w:rsidR="009D2E57" w:rsidRPr="0030410F" w14:paraId="1B4FAB28" w14:textId="77777777" w:rsidTr="00B544DF">
        <w:trPr>
          <w:trHeight w:val="567"/>
        </w:trPr>
        <w:tc>
          <w:tcPr>
            <w:tcW w:w="1036" w:type="dxa"/>
            <w:vAlign w:val="center"/>
          </w:tcPr>
          <w:p w14:paraId="225EA072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60</w:t>
            </w:r>
          </w:p>
        </w:tc>
        <w:tc>
          <w:tcPr>
            <w:tcW w:w="9624" w:type="dxa"/>
            <w:vAlign w:val="center"/>
          </w:tcPr>
          <w:p w14:paraId="233DF794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Good response – Some errors, risks, weaknesses or omissions from the specification, which can be corrected / overcome with minimum effort.</w:t>
            </w:r>
          </w:p>
        </w:tc>
      </w:tr>
      <w:tr w:rsidR="009D2E57" w:rsidRPr="0030410F" w14:paraId="50381129" w14:textId="77777777" w:rsidTr="00B544DF">
        <w:trPr>
          <w:trHeight w:val="567"/>
        </w:trPr>
        <w:tc>
          <w:tcPr>
            <w:tcW w:w="1036" w:type="dxa"/>
            <w:vAlign w:val="center"/>
          </w:tcPr>
          <w:p w14:paraId="5A65CE75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40</w:t>
            </w:r>
          </w:p>
        </w:tc>
        <w:tc>
          <w:tcPr>
            <w:tcW w:w="9624" w:type="dxa"/>
            <w:vAlign w:val="center"/>
          </w:tcPr>
          <w:p w14:paraId="0EAE4FCC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 xml:space="preserve">Adequate response – Some errors, risks, weaknesses or omissions from the specification which whilst possible to correct or overcome, provide cause for concern. </w:t>
            </w:r>
          </w:p>
        </w:tc>
      </w:tr>
      <w:tr w:rsidR="009D2E57" w:rsidRPr="0030410F" w14:paraId="46E3090A" w14:textId="77777777" w:rsidTr="00B544DF">
        <w:trPr>
          <w:trHeight w:val="567"/>
        </w:trPr>
        <w:tc>
          <w:tcPr>
            <w:tcW w:w="1036" w:type="dxa"/>
            <w:vAlign w:val="center"/>
          </w:tcPr>
          <w:p w14:paraId="11F739C0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20</w:t>
            </w:r>
          </w:p>
        </w:tc>
        <w:tc>
          <w:tcPr>
            <w:tcW w:w="9624" w:type="dxa"/>
            <w:vAlign w:val="center"/>
          </w:tcPr>
          <w:p w14:paraId="546F24C9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Poor response – Existence of numerous errors, risks, weaknesses or omissions from the specification, which are difficult to correct, overcome and make acceptable.</w:t>
            </w:r>
          </w:p>
        </w:tc>
      </w:tr>
      <w:tr w:rsidR="009D2E57" w:rsidRPr="0030410F" w14:paraId="5BC8618E" w14:textId="77777777" w:rsidTr="00B544DF">
        <w:trPr>
          <w:trHeight w:val="567"/>
        </w:trPr>
        <w:tc>
          <w:tcPr>
            <w:tcW w:w="1036" w:type="dxa"/>
            <w:vAlign w:val="center"/>
          </w:tcPr>
          <w:p w14:paraId="0EDE8C31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0</w:t>
            </w:r>
          </w:p>
        </w:tc>
        <w:tc>
          <w:tcPr>
            <w:tcW w:w="9624" w:type="dxa"/>
            <w:vAlign w:val="center"/>
          </w:tcPr>
          <w:p w14:paraId="0AB4F930" w14:textId="77777777" w:rsidR="009D2E57" w:rsidRPr="00162D50" w:rsidRDefault="009D2E57" w:rsidP="00433CFA">
            <w:pPr>
              <w:rPr>
                <w:color w:val="auto"/>
                <w:sz w:val="20"/>
              </w:rPr>
            </w:pPr>
            <w:r w:rsidRPr="00162D50">
              <w:rPr>
                <w:color w:val="auto"/>
                <w:sz w:val="20"/>
              </w:rPr>
              <w:t>No response / response wholly fails to address the question.</w:t>
            </w:r>
          </w:p>
        </w:tc>
      </w:tr>
    </w:tbl>
    <w:p w14:paraId="31536A7D" w14:textId="77777777" w:rsidR="009D2E57" w:rsidRDefault="009D2E57" w:rsidP="009D2E57">
      <w:pPr>
        <w:spacing w:before="0" w:after="0"/>
      </w:pPr>
    </w:p>
    <w:p w14:paraId="68291872" w14:textId="2F37F339" w:rsidR="009D2E57" w:rsidRDefault="009D2E57" w:rsidP="009D2E57">
      <w:pPr>
        <w:spacing w:before="0" w:after="0"/>
        <w:jc w:val="both"/>
        <w:rPr>
          <w:color w:val="002060"/>
          <w:sz w:val="20"/>
        </w:rPr>
      </w:pPr>
    </w:p>
    <w:sectPr w:rsidR="009D2E57" w:rsidSect="009D2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49" w:bottom="1440" w:left="709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74102" w14:textId="77777777" w:rsidR="00806594" w:rsidRDefault="00806594" w:rsidP="007A6C45">
      <w:r>
        <w:separator/>
      </w:r>
    </w:p>
  </w:endnote>
  <w:endnote w:type="continuationSeparator" w:id="0">
    <w:p w14:paraId="593CB61D" w14:textId="77777777" w:rsidR="00806594" w:rsidRDefault="00806594" w:rsidP="007A6C45">
      <w:r>
        <w:continuationSeparator/>
      </w:r>
    </w:p>
  </w:endnote>
  <w:endnote w:type="continuationNotice" w:id="1">
    <w:p w14:paraId="2F0DD3AA" w14:textId="77777777" w:rsidR="00806594" w:rsidRDefault="008065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E2DE" w14:textId="77777777" w:rsidR="00FA1231" w:rsidRDefault="00FA1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D5C0" w14:textId="77777777"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2E97D3" wp14:editId="2E837390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33CB0D5">
            <v:rect id="Rectangle 4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4687" strokecolor="#f2f2f2 [3041]" strokeweight="3pt" w14:anchorId="501FE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4uqwIAAG0FAAAOAAAAZHJzL2Uyb0RvYy54bWysVE1vEzEQvSPxHyzf6W6+k1U3VdVShFSg&#10;oiDOE69318JrG9vJpvx6xrNJSKm4IC6Wxx6/efNmxpdX+06znfRBWVPy0UXOmTTCVso0Jf/65e7N&#10;krMQwVSgrZElf5KBX61fv7rsXSHHtrW6kp4hiAlF70rexuiKLAuilR2EC+ukwcva+g4imr7JKg89&#10;onc6G+f5POutr5y3QoaAp7fDJV8Tfl1LET/VdZCR6ZIjt0irp3WT1mx9CUXjwbVKHGjAP7DoQBkM&#10;eoK6hQhs69ULqE4Jb4Ot44WwXWbrWglJOWA2o/yPbB5bcJJyQXGCO8kU/h+s+Lh78ExVJV9xZqDD&#10;En1G0cA0WrJpkqd3oUCvR/fgU4LB3VvxPTBjb1r0ktfe276VUCGpUfLPnj1IRsCnbNN/sBWiwzZa&#10;Umpf+y4BogZsTwV5OhVE7iMTeLiYLxajGdZN4N14MR+PZxQCiuNr50N8J23H0qbkHrkTOuzuQ0xs&#10;oDi6EHurVXWntCbDN5sb7dkOUnPk0/lycUAP527asL7kk+UoT0Q6h1oF01CUZ37Us/IEqOOIfPS2&#10;w8yHIKtZjiDUc3iMnXmIfQybuj4hEO9n4CmJWwjt8ICuBpxORRwgrbqSLxH8CJ8q8tZUFCqC0sMe&#10;1dAmpS5pNFAiqsAWIR7bqmeVSiKOl5MVjm2lcE4my3yerxacgW5wwEX0nHkbv6nYUnemkpGWR+oD&#10;QRBCmjh5IUDK/28CQAHatTAAnByR8klYksUe2ZJ1lgg1Xuq1oWc3tnrCvkOyiWP6o3DTWv+Tsx7n&#10;HYv4YwtecqbfG+zd1Wg6TR8EGdPZYoyGP7/ZnN+AEQhV8ojC0PYmDp/K1nnVtBhpKL6x19jvtaJW&#10;TLMwsELqycCZpiQO/0/6NM5t8vr9S65/AQAA//8DAFBLAwQUAAYACAAAACEAE5KXauEAAAALAQAA&#10;DwAAAGRycy9kb3ducmV2LnhtbEyPXUvDQBBF3wX/wzKCb+0mtSYlZlNEEEHQag30dZudfGh2NmS3&#10;bfrvnT7p4zCHc+/N15PtxRFH3zlSEM8jEEiVMx01Csqv59kKhA+ajO4doYIzelgX11e5zow70Sce&#10;t6ERLCGfaQVtCEMmpa9atNrP3YDEv9qNVgc+x0aaUZ9Ybnu5iKJEWt0RJ7R6wKcWq5/twSpIurJ+&#10;3U3vuCk/kpfzd1O/pV2t1O3N9PgAIuAU/mC41OfqUHCnvTuQ8aJXMIvTNGFWwWLJoy5EdBcvQezZ&#10;n96DLHL5f0PxCwAA//8DAFBLAQItABQABgAIAAAAIQC2gziS/gAAAOEBAAATAAAAAAAAAAAAAAAA&#10;AAAAAABbQ29udGVudF9UeXBlc10ueG1sUEsBAi0AFAAGAAgAAAAhADj9If/WAAAAlAEAAAsAAAAA&#10;AAAAAAAAAAAALwEAAF9yZWxzLy5yZWxzUEsBAi0AFAAGAAgAAAAhACJhni6rAgAAbQUAAA4AAAAA&#10;AAAAAAAAAAAALgIAAGRycy9lMm9Eb2MueG1sUEsBAi0AFAAGAAgAAAAhABOSl2rhAAAACwEAAA8A&#10;AAAAAAAAAAAAAAAABQUAAGRycy9kb3ducmV2LnhtbFBLBQYAAAAABAAEAPMAAAATBgAAAAA=&#10;">
              <v:shadow on="t" color="#4e6128 [1606]" opacity=".5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5CA7" w14:textId="77777777"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805BDA" wp14:editId="30509573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7A0E833E">
            <v:rect id="Rectangle 3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7dc242" strokecolor="#f2f2f2 [3041]" strokeweight="3pt" w14:anchorId="2484F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pqQIAAG0FAAAOAAAAZHJzL2Uyb0RvYy54bWysVMlu2zAQvRfoPxC8N1q8yBYiB4HdFAW6&#10;BE2LnmmKkohSJEvSltOv73BkO06DXopeCC7DNzNv3sz1zaFXZC+cl0ZXNLtKKRGam1rqtqLfvt69&#10;WVDiA9M1U0aLij4KT29Wr19dD7YUuemMqoUjAKJ9OdiKdiHYMkk870TP/JWxQsNjY1zPAhxdm9SO&#10;DYDeqyRP03kyGFdbZ7jwHm434yNdIX7TCB4+N40XgaiKQmwBV4frNq7J6pqVrWO2k/wYBvuHKHom&#10;NTg9Q21YYGTn5AuoXnJnvGnCFTd9YppGcoE5QDZZ+kc2Dx2zAnMBcrw90+T/Hyz/tL93RNYVhUJp&#10;1kOJvgBpTLdKkEmkZ7C+BKsHe+9igt5+MPyHJ9qsO7ASt86ZoROshqCyaJ88+xAPHr6S7fDR1IDO&#10;dsEgU4fG9REQOCAHLMjjuSDiEAiHy2JeFNkM6sbhLS/meT5DF6w8/bbOh3fC9CRuKuogdkRn+w8+&#10;xGhYeTLB6I2S9Z1UCg+u3a6VI3sG4ig263yaH9H9pZnSZKjoZJGlMZDeAldet+jlmR1qVpwBVcjQ&#10;Ru16yHx0spylAIKag2tQ5niNVxDpGQHjfgYek9gw340f8GnE6WWABlKyhwoC+Ak+VuStrtFVYFKN&#10;e/ChdExdYGsARViBHUA8dPVAahlJzBeTJaihltAnk0U6T5cFJUy10OA8OEqcCd9l6FCdsWTIZWzY&#10;p+QZ50KHyQsCYv5/I4CVTNmOjRmeDV/QYk7RIkkXiaDwotZGzW5N/Qi6g2BRXDCjYNMZ94uSAfod&#10;ivhzx5ygRL3XoN1lNp3GAYGH6azI4eAuX7aXL0xzgKpoAGJwuw7jUNlZJ9sOPI3F1+YW9N5IlGLs&#10;hTGqY5dAT2MSx/kTh8blGa2epuTqNwAAAP//AwBQSwMEFAAGAAgAAAAhACk5+HXhAAAACwEAAA8A&#10;AABkcnMvZG93bnJldi54bWxMj8tOwzAQRfdI/IM1SOxap2kbSohToUqIHY+2i7KbxCaJiMchdpPw&#10;90xXsBzN0bn3ZtvJtmIwvW8cKVjMIxCGSqcbqhQcD0+zDQgfkDS2joyCH+Nhm19fZZhqN9K7Gfah&#10;Eiwhn6KCOoQuldKXtbHo564zxL9P11sMfPaV1D2OLLetjKMokRYb4oQaO7OrTfm1P1sF8cfw/P3y&#10;FmOH90U4HUaKd69LpW5vpscHEMFM4Q+GS32uDjl3KtyZtBetgtlis0yYZduKR12IKF6vQBQKkrs1&#10;yDyT/zfkvwAAAP//AwBQSwECLQAUAAYACAAAACEAtoM4kv4AAADhAQAAEwAAAAAAAAAAAAAAAAAA&#10;AAAAW0NvbnRlbnRfVHlwZXNdLnhtbFBLAQItABQABgAIAAAAIQA4/SH/1gAAAJQBAAALAAAAAAAA&#10;AAAAAAAAAC8BAABfcmVscy8ucmVsc1BLAQItABQABgAIAAAAIQCJMDXpqQIAAG0FAAAOAAAAAAAA&#10;AAAAAAAAAC4CAABkcnMvZTJvRG9jLnhtbFBLAQItABQABgAIAAAAIQApOfh14QAAAAsBAAAPAAAA&#10;AAAAAAAAAAAAAAMFAABkcnMvZG93bnJldi54bWxQSwUGAAAAAAQABADzAAAAEQYAAAAA&#10;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7D77" w14:textId="77777777" w:rsidR="00806594" w:rsidRDefault="00806594" w:rsidP="007A6C45">
      <w:r>
        <w:separator/>
      </w:r>
    </w:p>
  </w:footnote>
  <w:footnote w:type="continuationSeparator" w:id="0">
    <w:p w14:paraId="5321ED78" w14:textId="77777777" w:rsidR="00806594" w:rsidRDefault="00806594" w:rsidP="007A6C45">
      <w:r>
        <w:continuationSeparator/>
      </w:r>
    </w:p>
  </w:footnote>
  <w:footnote w:type="continuationNotice" w:id="1">
    <w:p w14:paraId="2C0F7B12" w14:textId="77777777" w:rsidR="00806594" w:rsidRDefault="008065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8CA8" w14:textId="77777777" w:rsidR="00FA1231" w:rsidRDefault="00FA1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4"/>
      <w:gridCol w:w="3954"/>
      <w:gridCol w:w="1765"/>
      <w:gridCol w:w="1332"/>
    </w:tblGrid>
    <w:tr w:rsidR="00F53F76" w14:paraId="319AFED1" w14:textId="77777777" w:rsidTr="00F53F76">
      <w:trPr>
        <w:cantSplit/>
        <w:trHeight w:val="429"/>
        <w:jc w:val="center"/>
      </w:trPr>
      <w:tc>
        <w:tcPr>
          <w:tcW w:w="2414" w:type="dxa"/>
          <w:vAlign w:val="center"/>
        </w:tcPr>
        <w:p w14:paraId="2473FC81" w14:textId="77777777" w:rsidR="00F53F76" w:rsidRDefault="00F53F76" w:rsidP="00433CFA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Reference</w:t>
          </w:r>
        </w:p>
      </w:tc>
      <w:tc>
        <w:tcPr>
          <w:tcW w:w="3954" w:type="dxa"/>
          <w:tcBorders>
            <w:right w:val="nil"/>
          </w:tcBorders>
          <w:shd w:val="clear" w:color="auto" w:fill="auto"/>
          <w:vAlign w:val="center"/>
        </w:tcPr>
        <w:p w14:paraId="10AAB3E3" w14:textId="77777777" w:rsidR="00F53F76" w:rsidRPr="00D06567" w:rsidRDefault="00F53F76" w:rsidP="00433CFA">
          <w:pPr>
            <w:pStyle w:val="Header"/>
            <w:jc w:val="center"/>
            <w:rPr>
              <w:rFonts w:cs="Arial"/>
            </w:rPr>
          </w:pPr>
          <w:r w:rsidRPr="00D06567">
            <w:rPr>
              <w:rFonts w:cs="Arial"/>
            </w:rPr>
            <w:t>Title</w:t>
          </w:r>
        </w:p>
      </w:tc>
      <w:tc>
        <w:tcPr>
          <w:tcW w:w="1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C3C8D4" w14:textId="77777777" w:rsidR="00F53F76" w:rsidRDefault="00F53F76" w:rsidP="00433CFA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Issued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FC6428" w14:textId="77777777" w:rsidR="00F53F76" w:rsidRDefault="00F53F76" w:rsidP="00433CFA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Revision</w:t>
          </w:r>
        </w:p>
      </w:tc>
    </w:tr>
    <w:tr w:rsidR="00F53F76" w:rsidRPr="0082320E" w14:paraId="134CE5D7" w14:textId="77777777" w:rsidTr="00F53F76">
      <w:trPr>
        <w:cantSplit/>
        <w:trHeight w:val="429"/>
        <w:jc w:val="center"/>
      </w:trPr>
      <w:tc>
        <w:tcPr>
          <w:tcW w:w="2414" w:type="dxa"/>
          <w:vAlign w:val="center"/>
        </w:tcPr>
        <w:p w14:paraId="222E58D1" w14:textId="77777777" w:rsidR="00F53F76" w:rsidRPr="0082320E" w:rsidRDefault="00F53F76" w:rsidP="00433CFA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FO-PRS-EMP-112</w:t>
          </w:r>
        </w:p>
      </w:tc>
      <w:tc>
        <w:tcPr>
          <w:tcW w:w="3954" w:type="dxa"/>
          <w:tcBorders>
            <w:right w:val="nil"/>
          </w:tcBorders>
          <w:shd w:val="clear" w:color="auto" w:fill="auto"/>
          <w:vAlign w:val="center"/>
        </w:tcPr>
        <w:p w14:paraId="671208F0" w14:textId="77777777" w:rsidR="00F53F76" w:rsidRPr="00F53F76" w:rsidRDefault="00F53F76" w:rsidP="00433CFA">
          <w:pPr>
            <w:pStyle w:val="Header"/>
            <w:jc w:val="center"/>
            <w:rPr>
              <w:rFonts w:cs="Arial"/>
            </w:rPr>
          </w:pPr>
          <w:r w:rsidRPr="00F53F76">
            <w:rPr>
              <w:rFonts w:cs="Arial"/>
            </w:rPr>
            <w:t>RFI Attachment 002 – Tender Evaluation Criteria (Regulated)</w:t>
          </w:r>
        </w:p>
      </w:tc>
      <w:tc>
        <w:tcPr>
          <w:tcW w:w="1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DD62D" w14:textId="77777777" w:rsidR="00F53F76" w:rsidRPr="0082320E" w:rsidRDefault="00F53F76" w:rsidP="00433CFA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August 2017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E40E7" w14:textId="77777777" w:rsidR="00F53F76" w:rsidRPr="0082320E" w:rsidRDefault="00F53F76" w:rsidP="00433CFA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1.00</w:t>
          </w:r>
        </w:p>
      </w:tc>
    </w:tr>
  </w:tbl>
  <w:p w14:paraId="081A2FC4" w14:textId="77777777" w:rsidR="00584BB8" w:rsidRPr="00F53F76" w:rsidRDefault="00584BB8" w:rsidP="00F53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C46E" w14:textId="77777777"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3F5232C" wp14:editId="6E5309E0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AECDBD" wp14:editId="07178CC7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C2C"/>
    <w:multiLevelType w:val="hybridMultilevel"/>
    <w:tmpl w:val="3FF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4B4"/>
    <w:multiLevelType w:val="hybridMultilevel"/>
    <w:tmpl w:val="FD8C8F2A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E783FB4"/>
    <w:multiLevelType w:val="hybridMultilevel"/>
    <w:tmpl w:val="2828E838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1CD0EF2"/>
    <w:multiLevelType w:val="hybridMultilevel"/>
    <w:tmpl w:val="F70ACC44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135E2C8F"/>
    <w:multiLevelType w:val="hybridMultilevel"/>
    <w:tmpl w:val="612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0808"/>
    <w:multiLevelType w:val="hybridMultilevel"/>
    <w:tmpl w:val="3F76ED28"/>
    <w:lvl w:ilvl="0" w:tplc="492EC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28048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838475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A77CC15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972876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64685F0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230288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76AAB3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23167E2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3267557"/>
    <w:multiLevelType w:val="hybridMultilevel"/>
    <w:tmpl w:val="CCC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5A67"/>
    <w:multiLevelType w:val="hybridMultilevel"/>
    <w:tmpl w:val="EEE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47556"/>
    <w:multiLevelType w:val="multilevel"/>
    <w:tmpl w:val="B4FCC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64B4848"/>
    <w:multiLevelType w:val="hybridMultilevel"/>
    <w:tmpl w:val="0D5AB010"/>
    <w:lvl w:ilvl="0" w:tplc="DF1A9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9A3"/>
    <w:multiLevelType w:val="multilevel"/>
    <w:tmpl w:val="257C7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2049">
      <o:colormru v:ext="edit" colors="#7dc242,#00468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0"/>
    <w:rsid w:val="00001476"/>
    <w:rsid w:val="00002D3F"/>
    <w:rsid w:val="000078DF"/>
    <w:rsid w:val="000205FB"/>
    <w:rsid w:val="000567BE"/>
    <w:rsid w:val="000617CF"/>
    <w:rsid w:val="0006581C"/>
    <w:rsid w:val="00075C57"/>
    <w:rsid w:val="00076E62"/>
    <w:rsid w:val="00086780"/>
    <w:rsid w:val="0009538A"/>
    <w:rsid w:val="000A1E07"/>
    <w:rsid w:val="000A250B"/>
    <w:rsid w:val="000A5157"/>
    <w:rsid w:val="000A61A7"/>
    <w:rsid w:val="000B148D"/>
    <w:rsid w:val="000B5CBE"/>
    <w:rsid w:val="000C0380"/>
    <w:rsid w:val="000D1552"/>
    <w:rsid w:val="000D226F"/>
    <w:rsid w:val="000D505D"/>
    <w:rsid w:val="000F2F3F"/>
    <w:rsid w:val="000F5AD0"/>
    <w:rsid w:val="000F6749"/>
    <w:rsid w:val="000F7DDA"/>
    <w:rsid w:val="00103A9E"/>
    <w:rsid w:val="001236DC"/>
    <w:rsid w:val="00134BCB"/>
    <w:rsid w:val="0014564D"/>
    <w:rsid w:val="00147368"/>
    <w:rsid w:val="00150543"/>
    <w:rsid w:val="00151445"/>
    <w:rsid w:val="00157E80"/>
    <w:rsid w:val="00162094"/>
    <w:rsid w:val="00162D50"/>
    <w:rsid w:val="00194753"/>
    <w:rsid w:val="00195A49"/>
    <w:rsid w:val="001A241D"/>
    <w:rsid w:val="001A63B5"/>
    <w:rsid w:val="001B5DDF"/>
    <w:rsid w:val="001C46EE"/>
    <w:rsid w:val="001D3704"/>
    <w:rsid w:val="001E75DE"/>
    <w:rsid w:val="001F3826"/>
    <w:rsid w:val="001F7341"/>
    <w:rsid w:val="00200434"/>
    <w:rsid w:val="002026F0"/>
    <w:rsid w:val="00216C83"/>
    <w:rsid w:val="002360ED"/>
    <w:rsid w:val="00243A7C"/>
    <w:rsid w:val="00243DB9"/>
    <w:rsid w:val="00253335"/>
    <w:rsid w:val="00254A44"/>
    <w:rsid w:val="002564FF"/>
    <w:rsid w:val="0027025E"/>
    <w:rsid w:val="00270355"/>
    <w:rsid w:val="00272380"/>
    <w:rsid w:val="00276867"/>
    <w:rsid w:val="00282A64"/>
    <w:rsid w:val="002907AE"/>
    <w:rsid w:val="00293080"/>
    <w:rsid w:val="00295147"/>
    <w:rsid w:val="002A0090"/>
    <w:rsid w:val="002A17A3"/>
    <w:rsid w:val="002A5345"/>
    <w:rsid w:val="002B34E9"/>
    <w:rsid w:val="002B7D2D"/>
    <w:rsid w:val="002D2993"/>
    <w:rsid w:val="002E300D"/>
    <w:rsid w:val="002E4294"/>
    <w:rsid w:val="002F1972"/>
    <w:rsid w:val="0030410F"/>
    <w:rsid w:val="003061D8"/>
    <w:rsid w:val="00317588"/>
    <w:rsid w:val="00330031"/>
    <w:rsid w:val="003371F4"/>
    <w:rsid w:val="00342794"/>
    <w:rsid w:val="00344520"/>
    <w:rsid w:val="0035541A"/>
    <w:rsid w:val="00361DA7"/>
    <w:rsid w:val="00365498"/>
    <w:rsid w:val="00366B5C"/>
    <w:rsid w:val="00372721"/>
    <w:rsid w:val="00380A99"/>
    <w:rsid w:val="00382D21"/>
    <w:rsid w:val="00391F80"/>
    <w:rsid w:val="003A6E92"/>
    <w:rsid w:val="003B1A74"/>
    <w:rsid w:val="003B5800"/>
    <w:rsid w:val="003C3570"/>
    <w:rsid w:val="003C4F51"/>
    <w:rsid w:val="003C55F3"/>
    <w:rsid w:val="003D4A66"/>
    <w:rsid w:val="003D5C12"/>
    <w:rsid w:val="003E019E"/>
    <w:rsid w:val="003E0351"/>
    <w:rsid w:val="003F30E1"/>
    <w:rsid w:val="003F51CB"/>
    <w:rsid w:val="00417C9D"/>
    <w:rsid w:val="004206D0"/>
    <w:rsid w:val="00431B72"/>
    <w:rsid w:val="00433CFA"/>
    <w:rsid w:val="00435012"/>
    <w:rsid w:val="00440FA1"/>
    <w:rsid w:val="0044591E"/>
    <w:rsid w:val="004472F3"/>
    <w:rsid w:val="00452D50"/>
    <w:rsid w:val="00461792"/>
    <w:rsid w:val="004630F9"/>
    <w:rsid w:val="00480664"/>
    <w:rsid w:val="0048519C"/>
    <w:rsid w:val="004A3A99"/>
    <w:rsid w:val="004B160E"/>
    <w:rsid w:val="004C6B14"/>
    <w:rsid w:val="004C6C7C"/>
    <w:rsid w:val="004D2E06"/>
    <w:rsid w:val="004F0017"/>
    <w:rsid w:val="004F0D13"/>
    <w:rsid w:val="004F3B37"/>
    <w:rsid w:val="004F628B"/>
    <w:rsid w:val="004F6481"/>
    <w:rsid w:val="00503BB7"/>
    <w:rsid w:val="0050674F"/>
    <w:rsid w:val="00507702"/>
    <w:rsid w:val="00511A3D"/>
    <w:rsid w:val="0052123D"/>
    <w:rsid w:val="00524172"/>
    <w:rsid w:val="0054336D"/>
    <w:rsid w:val="00545C0E"/>
    <w:rsid w:val="00545F4B"/>
    <w:rsid w:val="00554D38"/>
    <w:rsid w:val="00556E59"/>
    <w:rsid w:val="00560186"/>
    <w:rsid w:val="0056551D"/>
    <w:rsid w:val="005667F4"/>
    <w:rsid w:val="00570B4C"/>
    <w:rsid w:val="00583C71"/>
    <w:rsid w:val="00584BB8"/>
    <w:rsid w:val="005905EE"/>
    <w:rsid w:val="005A182B"/>
    <w:rsid w:val="005A3CA4"/>
    <w:rsid w:val="005A5E8B"/>
    <w:rsid w:val="005A7697"/>
    <w:rsid w:val="005A7A1A"/>
    <w:rsid w:val="005B0BB0"/>
    <w:rsid w:val="005B5B4E"/>
    <w:rsid w:val="005C52BC"/>
    <w:rsid w:val="005D3DA9"/>
    <w:rsid w:val="005F082B"/>
    <w:rsid w:val="005F2751"/>
    <w:rsid w:val="00600DA3"/>
    <w:rsid w:val="00610541"/>
    <w:rsid w:val="00621DA2"/>
    <w:rsid w:val="0062609E"/>
    <w:rsid w:val="00636CED"/>
    <w:rsid w:val="00642B07"/>
    <w:rsid w:val="00644F94"/>
    <w:rsid w:val="006460CB"/>
    <w:rsid w:val="00660330"/>
    <w:rsid w:val="00670DB4"/>
    <w:rsid w:val="00671BD5"/>
    <w:rsid w:val="0067296D"/>
    <w:rsid w:val="00677E5A"/>
    <w:rsid w:val="00681EAC"/>
    <w:rsid w:val="00685D86"/>
    <w:rsid w:val="00690CBC"/>
    <w:rsid w:val="0069498F"/>
    <w:rsid w:val="00695725"/>
    <w:rsid w:val="00697623"/>
    <w:rsid w:val="006A1911"/>
    <w:rsid w:val="006A299F"/>
    <w:rsid w:val="006A4DA2"/>
    <w:rsid w:val="006B0103"/>
    <w:rsid w:val="006B5124"/>
    <w:rsid w:val="006C0D17"/>
    <w:rsid w:val="006D076A"/>
    <w:rsid w:val="006D2F1A"/>
    <w:rsid w:val="006E5ABE"/>
    <w:rsid w:val="006F3BBA"/>
    <w:rsid w:val="00700B70"/>
    <w:rsid w:val="007032EF"/>
    <w:rsid w:val="0071465A"/>
    <w:rsid w:val="00722B79"/>
    <w:rsid w:val="00746728"/>
    <w:rsid w:val="00746861"/>
    <w:rsid w:val="00753860"/>
    <w:rsid w:val="00767B00"/>
    <w:rsid w:val="0077116D"/>
    <w:rsid w:val="007934AF"/>
    <w:rsid w:val="0079410B"/>
    <w:rsid w:val="00797F9A"/>
    <w:rsid w:val="007A6C45"/>
    <w:rsid w:val="007A7451"/>
    <w:rsid w:val="007B6F47"/>
    <w:rsid w:val="007C090D"/>
    <w:rsid w:val="007C20E2"/>
    <w:rsid w:val="007C280B"/>
    <w:rsid w:val="007C660F"/>
    <w:rsid w:val="007F446A"/>
    <w:rsid w:val="00801C21"/>
    <w:rsid w:val="00806594"/>
    <w:rsid w:val="00812AF3"/>
    <w:rsid w:val="0081415D"/>
    <w:rsid w:val="00816E57"/>
    <w:rsid w:val="00817DC4"/>
    <w:rsid w:val="008356AF"/>
    <w:rsid w:val="00851CF9"/>
    <w:rsid w:val="00853669"/>
    <w:rsid w:val="00855C7B"/>
    <w:rsid w:val="008631D6"/>
    <w:rsid w:val="00871AC0"/>
    <w:rsid w:val="00875D9D"/>
    <w:rsid w:val="00875FFE"/>
    <w:rsid w:val="00876B18"/>
    <w:rsid w:val="008A4858"/>
    <w:rsid w:val="008B08AF"/>
    <w:rsid w:val="008B25A7"/>
    <w:rsid w:val="008B2D6C"/>
    <w:rsid w:val="008C2DB5"/>
    <w:rsid w:val="008C7AAB"/>
    <w:rsid w:val="008D048D"/>
    <w:rsid w:val="008E0E8E"/>
    <w:rsid w:val="008F264F"/>
    <w:rsid w:val="00901CB3"/>
    <w:rsid w:val="009029F5"/>
    <w:rsid w:val="0091209C"/>
    <w:rsid w:val="0091301B"/>
    <w:rsid w:val="009266F2"/>
    <w:rsid w:val="00926B9C"/>
    <w:rsid w:val="009319EA"/>
    <w:rsid w:val="00935FB0"/>
    <w:rsid w:val="0094058A"/>
    <w:rsid w:val="009439E1"/>
    <w:rsid w:val="00946599"/>
    <w:rsid w:val="00947412"/>
    <w:rsid w:val="00950C0C"/>
    <w:rsid w:val="00966DAB"/>
    <w:rsid w:val="009736F2"/>
    <w:rsid w:val="0097455E"/>
    <w:rsid w:val="0097751C"/>
    <w:rsid w:val="00980803"/>
    <w:rsid w:val="00980A35"/>
    <w:rsid w:val="009910B0"/>
    <w:rsid w:val="0099404E"/>
    <w:rsid w:val="00996215"/>
    <w:rsid w:val="009A7C69"/>
    <w:rsid w:val="009B35C5"/>
    <w:rsid w:val="009B5934"/>
    <w:rsid w:val="009B748F"/>
    <w:rsid w:val="009C6B0E"/>
    <w:rsid w:val="009D1296"/>
    <w:rsid w:val="009D2E57"/>
    <w:rsid w:val="009E253F"/>
    <w:rsid w:val="009E3879"/>
    <w:rsid w:val="009E79E5"/>
    <w:rsid w:val="009E7B04"/>
    <w:rsid w:val="009F55B8"/>
    <w:rsid w:val="00A029D0"/>
    <w:rsid w:val="00A11B8B"/>
    <w:rsid w:val="00A20F60"/>
    <w:rsid w:val="00A24987"/>
    <w:rsid w:val="00A2567F"/>
    <w:rsid w:val="00A26687"/>
    <w:rsid w:val="00A26C4E"/>
    <w:rsid w:val="00A44E88"/>
    <w:rsid w:val="00A55DF1"/>
    <w:rsid w:val="00A6586E"/>
    <w:rsid w:val="00A70AD5"/>
    <w:rsid w:val="00A726B7"/>
    <w:rsid w:val="00A74A6C"/>
    <w:rsid w:val="00A770F1"/>
    <w:rsid w:val="00A861B6"/>
    <w:rsid w:val="00A87218"/>
    <w:rsid w:val="00A93AD9"/>
    <w:rsid w:val="00AA17FD"/>
    <w:rsid w:val="00AB234A"/>
    <w:rsid w:val="00AC3E7E"/>
    <w:rsid w:val="00AD0FAE"/>
    <w:rsid w:val="00AD2517"/>
    <w:rsid w:val="00AD3E58"/>
    <w:rsid w:val="00AD773E"/>
    <w:rsid w:val="00AE0FF5"/>
    <w:rsid w:val="00AE6194"/>
    <w:rsid w:val="00AF0CAC"/>
    <w:rsid w:val="00AF25A7"/>
    <w:rsid w:val="00B076C9"/>
    <w:rsid w:val="00B12C11"/>
    <w:rsid w:val="00B35982"/>
    <w:rsid w:val="00B45492"/>
    <w:rsid w:val="00B50A30"/>
    <w:rsid w:val="00B544DF"/>
    <w:rsid w:val="00B63765"/>
    <w:rsid w:val="00B640B2"/>
    <w:rsid w:val="00B67609"/>
    <w:rsid w:val="00B770AE"/>
    <w:rsid w:val="00B81159"/>
    <w:rsid w:val="00B85A40"/>
    <w:rsid w:val="00B8665F"/>
    <w:rsid w:val="00B86D74"/>
    <w:rsid w:val="00B93BC4"/>
    <w:rsid w:val="00BA69E5"/>
    <w:rsid w:val="00BA7D39"/>
    <w:rsid w:val="00BB2638"/>
    <w:rsid w:val="00BC08A8"/>
    <w:rsid w:val="00BD13FA"/>
    <w:rsid w:val="00BD7E15"/>
    <w:rsid w:val="00BE187A"/>
    <w:rsid w:val="00BF77F0"/>
    <w:rsid w:val="00C01899"/>
    <w:rsid w:val="00C02B74"/>
    <w:rsid w:val="00C056AE"/>
    <w:rsid w:val="00C05C62"/>
    <w:rsid w:val="00C13017"/>
    <w:rsid w:val="00C20C5F"/>
    <w:rsid w:val="00C2714A"/>
    <w:rsid w:val="00C345D6"/>
    <w:rsid w:val="00C3465F"/>
    <w:rsid w:val="00C37037"/>
    <w:rsid w:val="00C370B2"/>
    <w:rsid w:val="00C41DF1"/>
    <w:rsid w:val="00C45474"/>
    <w:rsid w:val="00C568A5"/>
    <w:rsid w:val="00C56C49"/>
    <w:rsid w:val="00C66BEC"/>
    <w:rsid w:val="00C72DCE"/>
    <w:rsid w:val="00C7387E"/>
    <w:rsid w:val="00C74198"/>
    <w:rsid w:val="00C7626D"/>
    <w:rsid w:val="00C806D8"/>
    <w:rsid w:val="00C8545E"/>
    <w:rsid w:val="00C97869"/>
    <w:rsid w:val="00CA3FB5"/>
    <w:rsid w:val="00CB267C"/>
    <w:rsid w:val="00CB525F"/>
    <w:rsid w:val="00CC4C5A"/>
    <w:rsid w:val="00CC622D"/>
    <w:rsid w:val="00CD0DE4"/>
    <w:rsid w:val="00CD4F4D"/>
    <w:rsid w:val="00CD66A0"/>
    <w:rsid w:val="00CD684E"/>
    <w:rsid w:val="00CE0204"/>
    <w:rsid w:val="00CE0FAE"/>
    <w:rsid w:val="00CF60C1"/>
    <w:rsid w:val="00D260A8"/>
    <w:rsid w:val="00D36703"/>
    <w:rsid w:val="00D41C30"/>
    <w:rsid w:val="00D437E0"/>
    <w:rsid w:val="00D5315E"/>
    <w:rsid w:val="00D661AB"/>
    <w:rsid w:val="00D664DF"/>
    <w:rsid w:val="00D67A7C"/>
    <w:rsid w:val="00D745DC"/>
    <w:rsid w:val="00D81A85"/>
    <w:rsid w:val="00D8746A"/>
    <w:rsid w:val="00D87A43"/>
    <w:rsid w:val="00DB3B32"/>
    <w:rsid w:val="00DC0BCB"/>
    <w:rsid w:val="00DC3256"/>
    <w:rsid w:val="00DD3B5C"/>
    <w:rsid w:val="00DD7A16"/>
    <w:rsid w:val="00DE1F25"/>
    <w:rsid w:val="00DE273B"/>
    <w:rsid w:val="00DE333E"/>
    <w:rsid w:val="00DF5D77"/>
    <w:rsid w:val="00DF7273"/>
    <w:rsid w:val="00E0054A"/>
    <w:rsid w:val="00E06997"/>
    <w:rsid w:val="00E11D95"/>
    <w:rsid w:val="00E157C8"/>
    <w:rsid w:val="00E22681"/>
    <w:rsid w:val="00E25454"/>
    <w:rsid w:val="00E505AE"/>
    <w:rsid w:val="00E5090B"/>
    <w:rsid w:val="00E541F5"/>
    <w:rsid w:val="00E7443C"/>
    <w:rsid w:val="00E748AF"/>
    <w:rsid w:val="00E748DE"/>
    <w:rsid w:val="00E74A2A"/>
    <w:rsid w:val="00E75477"/>
    <w:rsid w:val="00E81A94"/>
    <w:rsid w:val="00E97BD3"/>
    <w:rsid w:val="00EA1B63"/>
    <w:rsid w:val="00EA41EC"/>
    <w:rsid w:val="00EA4D1F"/>
    <w:rsid w:val="00EC061B"/>
    <w:rsid w:val="00EC3046"/>
    <w:rsid w:val="00EF1AD6"/>
    <w:rsid w:val="00EF7681"/>
    <w:rsid w:val="00F01551"/>
    <w:rsid w:val="00F17A7D"/>
    <w:rsid w:val="00F26174"/>
    <w:rsid w:val="00F31464"/>
    <w:rsid w:val="00F34EE7"/>
    <w:rsid w:val="00F428C7"/>
    <w:rsid w:val="00F52349"/>
    <w:rsid w:val="00F53F76"/>
    <w:rsid w:val="00F727AC"/>
    <w:rsid w:val="00F74F1A"/>
    <w:rsid w:val="00F779A1"/>
    <w:rsid w:val="00F86AB6"/>
    <w:rsid w:val="00FA1231"/>
    <w:rsid w:val="00FA3DD5"/>
    <w:rsid w:val="00FA54D3"/>
    <w:rsid w:val="00FB1A05"/>
    <w:rsid w:val="00FB4BFD"/>
    <w:rsid w:val="00FC0931"/>
    <w:rsid w:val="00FC5029"/>
    <w:rsid w:val="00FE00BD"/>
    <w:rsid w:val="00FE473E"/>
    <w:rsid w:val="00FE7661"/>
    <w:rsid w:val="03151AC3"/>
    <w:rsid w:val="08B5E1F6"/>
    <w:rsid w:val="2A97DC78"/>
    <w:rsid w:val="59002127"/>
    <w:rsid w:val="5E7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dc242,#004687"/>
    </o:shapedefaults>
    <o:shapelayout v:ext="edit">
      <o:idmap v:ext="edit" data="1"/>
    </o:shapelayout>
  </w:shapeDefaults>
  <w:decimalSymbol w:val="."/>
  <w:listSeparator w:val=","/>
  <w14:docId w14:val="038BD79D"/>
  <w15:docId w15:val="{CE6086F1-FAB6-46F4-8DE4-6A746563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7B6F47"/>
    <w:pPr>
      <w:autoSpaceDE w:val="0"/>
      <w:autoSpaceDN w:val="0"/>
      <w:adjustRightInd w:val="0"/>
      <w:spacing w:before="0" w:after="0"/>
      <w:ind w:left="13"/>
      <w:jc w:val="both"/>
      <w:outlineLvl w:val="1"/>
    </w:pPr>
    <w:rPr>
      <w:b/>
      <w:bCs/>
      <w:color w:val="002060"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7B6F47"/>
    <w:rPr>
      <w:rFonts w:ascii="Calibri" w:hAnsi="Calibri"/>
      <w:b/>
      <w:bCs/>
      <w:color w:val="002060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53E7250299E45A50BFD1F443EE334" ma:contentTypeVersion="4" ma:contentTypeDescription="Create a new document." ma:contentTypeScope="" ma:versionID="bcfec6b2d3d9fd7fbfcc318005aa875a">
  <xsd:schema xmlns:xsd="http://www.w3.org/2001/XMLSchema" xmlns:xs="http://www.w3.org/2001/XMLSchema" xmlns:p="http://schemas.microsoft.com/office/2006/metadata/properties" xmlns:ns2="a38a26ea-cc76-4c15-a167-0ddd328abd21" targetNamespace="http://schemas.microsoft.com/office/2006/metadata/properties" ma:root="true" ma:fieldsID="261253cef25ff26f668afe072b3ca294" ns2:_="">
    <xsd:import namespace="a38a26ea-cc76-4c15-a167-0ddd328a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a26ea-cc76-4c15-a167-0ddd328a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D773-AA1C-4335-BFC7-23F7EB496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a26ea-cc76-4c15-a167-0ddd328a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BD34A-E9E3-473F-8338-C6F5967C9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B5C5B-8996-44F5-9527-F6A0BBA95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2E70D-CDF3-49EA-9029-056DCB2A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3064</Characters>
  <Application>Microsoft Office Word</Application>
  <DocSecurity>0</DocSecurity>
  <Lines>25</Lines>
  <Paragraphs>7</Paragraphs>
  <ScaleCrop>false</ScaleCrop>
  <Company>Scottish and Southern Energy plc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Strategy</dc:title>
  <dc:subject/>
  <dc:creator>Hartley, Shaun</dc:creator>
  <cp:keywords/>
  <dc:description/>
  <cp:lastModifiedBy>Higgins, Timothy</cp:lastModifiedBy>
  <cp:revision>51</cp:revision>
  <cp:lastPrinted>2016-08-03T14:41:00Z</cp:lastPrinted>
  <dcterms:created xsi:type="dcterms:W3CDTF">2020-07-30T08:53:00Z</dcterms:created>
  <dcterms:modified xsi:type="dcterms:W3CDTF">2020-09-02T17:16:00Z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0942-dd40-4530-96b6-ebe359e8009d_Enabled">
    <vt:lpwstr>True</vt:lpwstr>
  </property>
  <property fmtid="{D5CDD505-2E9C-101B-9397-08002B2CF9AE}" pid="3" name="MSIP_Label_a4200942-dd40-4530-96b6-ebe359e8009d_SiteId">
    <vt:lpwstr>953b0f83-1ce6-45c3-82c9-1d847e372339</vt:lpwstr>
  </property>
  <property fmtid="{D5CDD505-2E9C-101B-9397-08002B2CF9AE}" pid="4" name="MSIP_Label_a4200942-dd40-4530-96b6-ebe359e8009d_Owner">
    <vt:lpwstr>Timothy.Higgins@sse.com</vt:lpwstr>
  </property>
  <property fmtid="{D5CDD505-2E9C-101B-9397-08002B2CF9AE}" pid="5" name="MSIP_Label_a4200942-dd40-4530-96b6-ebe359e8009d_SetDate">
    <vt:lpwstr>2019-07-29T14:28:39.1143891Z</vt:lpwstr>
  </property>
  <property fmtid="{D5CDD505-2E9C-101B-9397-08002B2CF9AE}" pid="6" name="MSIP_Label_a4200942-dd40-4530-96b6-ebe359e8009d_Name">
    <vt:lpwstr>Public</vt:lpwstr>
  </property>
  <property fmtid="{D5CDD505-2E9C-101B-9397-08002B2CF9AE}" pid="7" name="MSIP_Label_a4200942-dd40-4530-96b6-ebe359e8009d_Application">
    <vt:lpwstr>Microsoft Azure Information Protection</vt:lpwstr>
  </property>
  <property fmtid="{D5CDD505-2E9C-101B-9397-08002B2CF9AE}" pid="8" name="MSIP_Label_a4200942-dd40-4530-96b6-ebe359e8009d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0x010100D5F53E7250299E45A50BFD1F443EE334</vt:lpwstr>
  </property>
</Properties>
</file>