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2F6" w14:textId="77777777" w:rsidR="00311D7F" w:rsidRPr="00D41E50" w:rsidRDefault="00311D7F" w:rsidP="00311E73">
      <w:pPr>
        <w:jc w:val="both"/>
      </w:pPr>
    </w:p>
    <w:p w14:paraId="0FF482F7" w14:textId="77777777" w:rsidR="00311D7F" w:rsidRPr="00D41E50" w:rsidRDefault="00311D7F" w:rsidP="00311E73">
      <w:pPr>
        <w:jc w:val="both"/>
      </w:pPr>
    </w:p>
    <w:p w14:paraId="0FF482F8" w14:textId="77777777" w:rsidR="00311D7F" w:rsidRPr="00D41E50" w:rsidRDefault="00311D7F" w:rsidP="00311E73">
      <w:pPr>
        <w:jc w:val="both"/>
      </w:pPr>
    </w:p>
    <w:p w14:paraId="0FF482F9" w14:textId="77777777" w:rsidR="00311D7F" w:rsidRPr="00D41E50" w:rsidRDefault="00311D7F" w:rsidP="00311E73">
      <w:pPr>
        <w:jc w:val="both"/>
      </w:pPr>
    </w:p>
    <w:p w14:paraId="0FF482FA" w14:textId="77777777" w:rsidR="00311D7F" w:rsidRPr="00D41E50" w:rsidRDefault="00311D7F" w:rsidP="00311E73">
      <w:pPr>
        <w:jc w:val="both"/>
      </w:pPr>
    </w:p>
    <w:p w14:paraId="0FF482FB" w14:textId="77777777" w:rsidR="00311D7F" w:rsidRPr="00D41E50" w:rsidRDefault="00311D7F" w:rsidP="00311E73">
      <w:pPr>
        <w:jc w:val="both"/>
      </w:pPr>
    </w:p>
    <w:p w14:paraId="0FF482FC" w14:textId="77777777" w:rsidR="00311D7F" w:rsidRPr="00D41E50" w:rsidRDefault="00311D7F" w:rsidP="00311E73">
      <w:pPr>
        <w:jc w:val="both"/>
      </w:pPr>
    </w:p>
    <w:p w14:paraId="0FF482FD" w14:textId="77777777" w:rsidR="00311D7F" w:rsidRPr="00D41E50" w:rsidRDefault="00311D7F" w:rsidP="00311E73">
      <w:pPr>
        <w:jc w:val="both"/>
      </w:pPr>
    </w:p>
    <w:p w14:paraId="0FF482FE" w14:textId="77777777" w:rsidR="00311D7F" w:rsidRPr="00D41E50" w:rsidRDefault="00311D7F" w:rsidP="00311E73">
      <w:pPr>
        <w:jc w:val="both"/>
      </w:pPr>
    </w:p>
    <w:p w14:paraId="0FF482FF" w14:textId="77777777" w:rsidR="00311D7F" w:rsidRPr="00D41E50" w:rsidRDefault="00311D7F" w:rsidP="00311E73">
      <w:pPr>
        <w:jc w:val="both"/>
      </w:pPr>
    </w:p>
    <w:p w14:paraId="0FF48300" w14:textId="77777777" w:rsidR="00311D7F" w:rsidRPr="00D41E50" w:rsidRDefault="00311D7F" w:rsidP="00311E73">
      <w:pPr>
        <w:jc w:val="both"/>
      </w:pPr>
    </w:p>
    <w:p w14:paraId="0FF48301" w14:textId="77777777" w:rsidR="00311D7F" w:rsidRPr="00D41E50" w:rsidRDefault="00311D7F" w:rsidP="00311E73">
      <w:pPr>
        <w:jc w:val="both"/>
      </w:pPr>
    </w:p>
    <w:p w14:paraId="0FF48302" w14:textId="77777777" w:rsidR="00311D7F" w:rsidRPr="00D41E50" w:rsidRDefault="00311D7F" w:rsidP="00311E73">
      <w:pPr>
        <w:jc w:val="both"/>
      </w:pPr>
    </w:p>
    <w:p w14:paraId="0FF48303" w14:textId="77777777" w:rsidR="00311D7F" w:rsidRPr="00D41E50" w:rsidRDefault="00311D7F" w:rsidP="00311E73">
      <w:pPr>
        <w:jc w:val="both"/>
      </w:pPr>
    </w:p>
    <w:p w14:paraId="0FF48304" w14:textId="77777777" w:rsidR="00311D7F" w:rsidRPr="00D41E50" w:rsidRDefault="00311D7F" w:rsidP="00311E73">
      <w:pPr>
        <w:jc w:val="both"/>
      </w:pPr>
    </w:p>
    <w:p w14:paraId="0FF48305" w14:textId="77777777" w:rsidR="00311D7F" w:rsidRPr="00D41E50" w:rsidRDefault="00311D7F" w:rsidP="00311E73">
      <w:pPr>
        <w:jc w:val="both"/>
      </w:pPr>
    </w:p>
    <w:p w14:paraId="0FF48306" w14:textId="77777777" w:rsidR="00311D7F" w:rsidRPr="00D41E50" w:rsidRDefault="00311D7F" w:rsidP="00311E73">
      <w:pPr>
        <w:jc w:val="both"/>
      </w:pPr>
    </w:p>
    <w:p w14:paraId="0FF48307" w14:textId="77777777" w:rsidR="00311D7F" w:rsidRPr="00D41E50" w:rsidRDefault="00311D7F" w:rsidP="00311E73">
      <w:pPr>
        <w:jc w:val="both"/>
      </w:pPr>
    </w:p>
    <w:p w14:paraId="0FF48308" w14:textId="77777777" w:rsidR="00311D7F" w:rsidRPr="00D41E50" w:rsidRDefault="00311D7F" w:rsidP="00311E73">
      <w:pPr>
        <w:jc w:val="both"/>
      </w:pPr>
    </w:p>
    <w:p w14:paraId="0FF48309" w14:textId="77777777" w:rsidR="00311D7F" w:rsidRPr="00D41E50" w:rsidRDefault="00311D7F" w:rsidP="00311E73">
      <w:pPr>
        <w:jc w:val="both"/>
      </w:pPr>
    </w:p>
    <w:p w14:paraId="0FF4830A" w14:textId="77777777" w:rsidR="00311D7F" w:rsidRPr="00D41E50" w:rsidRDefault="00311D7F" w:rsidP="00311E73">
      <w:pPr>
        <w:jc w:val="both"/>
      </w:pPr>
    </w:p>
    <w:p w14:paraId="0FF4830B" w14:textId="77777777" w:rsidR="00311D7F" w:rsidRPr="00D41E50" w:rsidRDefault="00311D7F" w:rsidP="00311E73">
      <w:pPr>
        <w:jc w:val="both"/>
      </w:pPr>
    </w:p>
    <w:p w14:paraId="37E10F0C" w14:textId="10A8D1DC" w:rsidR="00036935" w:rsidRPr="00036935" w:rsidRDefault="00036935" w:rsidP="00036935">
      <w:pPr>
        <w:jc w:val="center"/>
        <w:rPr>
          <w:b/>
          <w:sz w:val="28"/>
          <w:szCs w:val="28"/>
        </w:rPr>
      </w:pPr>
      <w:r w:rsidRPr="00036935">
        <w:rPr>
          <w:b/>
          <w:sz w:val="28"/>
          <w:szCs w:val="28"/>
        </w:rPr>
        <w:t xml:space="preserve">OO Services - EV charging software - Multisite 1225 </w:t>
      </w:r>
    </w:p>
    <w:p w14:paraId="0FF4830D" w14:textId="5F02964C" w:rsidR="00311D7F" w:rsidRPr="004B1052" w:rsidRDefault="00311D7F" w:rsidP="00F2420C">
      <w:pPr>
        <w:jc w:val="center"/>
        <w:rPr>
          <w:b/>
          <w:sz w:val="28"/>
          <w:szCs w:val="28"/>
        </w:rPr>
      </w:pPr>
      <w:r>
        <w:rPr>
          <w:b/>
          <w:sz w:val="28"/>
          <w:szCs w:val="28"/>
        </w:rPr>
        <w:t xml:space="preserve">Reference: </w:t>
      </w:r>
      <w:r w:rsidR="007678B9">
        <w:rPr>
          <w:b/>
          <w:sz w:val="28"/>
          <w:szCs w:val="28"/>
        </w:rPr>
        <w:t xml:space="preserve">SSE </w:t>
      </w:r>
      <w:r w:rsidR="00036935" w:rsidRPr="00036935">
        <w:rPr>
          <w:b/>
          <w:sz w:val="28"/>
          <w:szCs w:val="28"/>
        </w:rPr>
        <w:t>11973</w:t>
      </w:r>
    </w:p>
    <w:p w14:paraId="0FF4830E" w14:textId="77777777" w:rsidR="00311D7F" w:rsidRPr="004B1052" w:rsidRDefault="00311D7F" w:rsidP="00F2420C">
      <w:pPr>
        <w:jc w:val="center"/>
        <w:rPr>
          <w:b/>
          <w:sz w:val="28"/>
          <w:szCs w:val="28"/>
        </w:rPr>
      </w:pPr>
    </w:p>
    <w:p w14:paraId="0FF48310" w14:textId="77777777" w:rsidR="00311D7F" w:rsidRPr="004B1052" w:rsidRDefault="00A9700A" w:rsidP="00F2420C">
      <w:pPr>
        <w:jc w:val="center"/>
        <w:rPr>
          <w:b/>
          <w:sz w:val="28"/>
          <w:szCs w:val="28"/>
        </w:rPr>
      </w:pPr>
      <w:r>
        <w:rPr>
          <w:b/>
          <w:sz w:val="28"/>
          <w:szCs w:val="28"/>
        </w:rPr>
        <w:t xml:space="preserve">Instructions to </w:t>
      </w:r>
      <w:r w:rsidR="009B30C0">
        <w:rPr>
          <w:b/>
          <w:sz w:val="28"/>
          <w:szCs w:val="28"/>
        </w:rPr>
        <w:t xml:space="preserve">Potential </w:t>
      </w:r>
      <w:r>
        <w:rPr>
          <w:b/>
          <w:sz w:val="28"/>
          <w:szCs w:val="28"/>
        </w:rPr>
        <w:t>Applicants</w:t>
      </w:r>
    </w:p>
    <w:p w14:paraId="0FF48311" w14:textId="77777777" w:rsidR="00311D7F" w:rsidRPr="00D41E50" w:rsidRDefault="00311D7F" w:rsidP="00311E73">
      <w:pPr>
        <w:jc w:val="both"/>
      </w:pPr>
    </w:p>
    <w:p w14:paraId="0FF48312" w14:textId="77777777" w:rsidR="00311D7F" w:rsidRPr="00D41E50" w:rsidRDefault="00311D7F" w:rsidP="00311E73">
      <w:pPr>
        <w:jc w:val="both"/>
      </w:pPr>
    </w:p>
    <w:p w14:paraId="0FF48313" w14:textId="77777777" w:rsidR="00311D7F" w:rsidRPr="00D41E50" w:rsidRDefault="00311D7F" w:rsidP="00311E73">
      <w:pPr>
        <w:jc w:val="both"/>
      </w:pPr>
    </w:p>
    <w:p w14:paraId="0FF48314" w14:textId="77777777" w:rsidR="00311D7F" w:rsidRPr="00D41E50" w:rsidRDefault="00311D7F" w:rsidP="00311E73">
      <w:pPr>
        <w:jc w:val="both"/>
      </w:pPr>
    </w:p>
    <w:p w14:paraId="0FF48315" w14:textId="77777777" w:rsidR="00311D7F" w:rsidRPr="00D41E50" w:rsidRDefault="00311D7F" w:rsidP="00311E73">
      <w:pPr>
        <w:jc w:val="both"/>
      </w:pPr>
    </w:p>
    <w:p w14:paraId="0FF48316" w14:textId="77777777" w:rsidR="00311D7F" w:rsidRPr="00D41E50" w:rsidRDefault="00311D7F" w:rsidP="00311E73">
      <w:pPr>
        <w:jc w:val="both"/>
      </w:pPr>
    </w:p>
    <w:p w14:paraId="0FF48317" w14:textId="77777777" w:rsidR="00311D7F" w:rsidRPr="00D41E50" w:rsidRDefault="00311D7F" w:rsidP="00311E73">
      <w:pPr>
        <w:jc w:val="both"/>
      </w:pPr>
    </w:p>
    <w:p w14:paraId="0FF48318" w14:textId="77777777" w:rsidR="00311D7F" w:rsidRPr="00D41E50" w:rsidRDefault="00311D7F" w:rsidP="00311E73">
      <w:pPr>
        <w:jc w:val="both"/>
      </w:pPr>
    </w:p>
    <w:p w14:paraId="0FF48319" w14:textId="77777777" w:rsidR="00311D7F" w:rsidRPr="00D41E50" w:rsidRDefault="00311D7F" w:rsidP="00311E73">
      <w:pPr>
        <w:jc w:val="both"/>
      </w:pPr>
    </w:p>
    <w:p w14:paraId="0FF4831A" w14:textId="77777777" w:rsidR="00311D7F" w:rsidRPr="00D41E50" w:rsidRDefault="00311D7F" w:rsidP="00311E73">
      <w:pPr>
        <w:jc w:val="both"/>
      </w:pPr>
    </w:p>
    <w:p w14:paraId="0FF4831B" w14:textId="77777777" w:rsidR="00311D7F" w:rsidRPr="00D41E50" w:rsidRDefault="00311D7F" w:rsidP="00311E73">
      <w:pPr>
        <w:jc w:val="both"/>
      </w:pPr>
    </w:p>
    <w:p w14:paraId="0FF4831C" w14:textId="77777777" w:rsidR="00311D7F" w:rsidRPr="00D41E50" w:rsidRDefault="00311D7F" w:rsidP="00311E73">
      <w:pPr>
        <w:jc w:val="both"/>
      </w:pPr>
    </w:p>
    <w:p w14:paraId="0FF48322" w14:textId="793F4000" w:rsidR="00E34751" w:rsidRDefault="00E34751" w:rsidP="00036935">
      <w:pPr>
        <w:jc w:val="both"/>
        <w:rPr>
          <w:color w:val="FF0000"/>
        </w:rPr>
      </w:pPr>
    </w:p>
    <w:p w14:paraId="0A87392A" w14:textId="00A8A8CC" w:rsidR="00036935" w:rsidRDefault="00036935" w:rsidP="00036935">
      <w:pPr>
        <w:jc w:val="both"/>
        <w:rPr>
          <w:color w:val="FF0000"/>
        </w:rPr>
      </w:pPr>
    </w:p>
    <w:p w14:paraId="616057D9" w14:textId="48171373" w:rsidR="00036935" w:rsidRDefault="00036935" w:rsidP="00036935">
      <w:pPr>
        <w:jc w:val="both"/>
        <w:rPr>
          <w:color w:val="FF0000"/>
        </w:rPr>
      </w:pPr>
    </w:p>
    <w:p w14:paraId="3851EC22" w14:textId="39DCA786" w:rsidR="00036935" w:rsidRDefault="00036935" w:rsidP="00036935">
      <w:pPr>
        <w:jc w:val="both"/>
        <w:rPr>
          <w:color w:val="FF0000"/>
        </w:rPr>
      </w:pPr>
    </w:p>
    <w:p w14:paraId="61138AFB" w14:textId="45C7AE14" w:rsidR="00036935" w:rsidRDefault="00036935" w:rsidP="00036935">
      <w:pPr>
        <w:jc w:val="both"/>
        <w:rPr>
          <w:color w:val="FF0000"/>
        </w:rPr>
      </w:pPr>
    </w:p>
    <w:p w14:paraId="186E0884" w14:textId="50495BDC" w:rsidR="00036935" w:rsidRDefault="00036935" w:rsidP="00036935">
      <w:pPr>
        <w:jc w:val="both"/>
        <w:rPr>
          <w:color w:val="FF0000"/>
        </w:rPr>
      </w:pPr>
    </w:p>
    <w:p w14:paraId="2955F1B2" w14:textId="77777777" w:rsidR="00036935" w:rsidRPr="00036935" w:rsidRDefault="00036935" w:rsidP="00036935">
      <w:pPr>
        <w:jc w:val="both"/>
        <w:rPr>
          <w:color w:val="FF0000"/>
        </w:rPr>
      </w:pPr>
    </w:p>
    <w:p w14:paraId="0FF48323" w14:textId="77777777" w:rsidR="00311D7F" w:rsidRPr="00D41E50" w:rsidRDefault="00311D7F" w:rsidP="00311E73">
      <w:pPr>
        <w:jc w:val="both"/>
      </w:pPr>
    </w:p>
    <w:p w14:paraId="0FF48324" w14:textId="77777777" w:rsidR="00311D7F" w:rsidRPr="00D41E50" w:rsidRDefault="00311D7F" w:rsidP="00311E73">
      <w:pPr>
        <w:jc w:val="both"/>
      </w:pPr>
    </w:p>
    <w:p w14:paraId="0FF48325" w14:textId="77777777" w:rsidR="00311D7F" w:rsidRPr="00D41E50" w:rsidRDefault="00311D7F" w:rsidP="00311E73">
      <w:pPr>
        <w:jc w:val="both"/>
      </w:pPr>
    </w:p>
    <w:p w14:paraId="0FF48326" w14:textId="77777777" w:rsidR="00311D7F" w:rsidRPr="00D41E50" w:rsidRDefault="00311D7F" w:rsidP="00311E73">
      <w:pPr>
        <w:jc w:val="both"/>
      </w:pPr>
    </w:p>
    <w:p w14:paraId="0FF48327" w14:textId="77777777" w:rsidR="00311D7F" w:rsidRPr="00D41E50" w:rsidRDefault="00311D7F" w:rsidP="00311E73">
      <w:pPr>
        <w:jc w:val="both"/>
      </w:pPr>
    </w:p>
    <w:p w14:paraId="0FF48328" w14:textId="77777777" w:rsidR="00311D7F" w:rsidRDefault="00311D7F" w:rsidP="00311E73">
      <w:pPr>
        <w:jc w:val="both"/>
      </w:pPr>
    </w:p>
    <w:p w14:paraId="0FF48329" w14:textId="77777777" w:rsidR="004347BE" w:rsidRDefault="004347BE" w:rsidP="00311E73">
      <w:pPr>
        <w:jc w:val="both"/>
      </w:pPr>
    </w:p>
    <w:p w14:paraId="0FF4832A" w14:textId="77777777" w:rsidR="004347BE" w:rsidRPr="00D41E50" w:rsidRDefault="004347BE" w:rsidP="00311E73">
      <w:pPr>
        <w:jc w:val="both"/>
      </w:pPr>
    </w:p>
    <w:p w14:paraId="0FF4832B" w14:textId="77777777" w:rsidR="00311D7F" w:rsidRPr="00D41E50" w:rsidRDefault="00311D7F" w:rsidP="00311E73">
      <w:pPr>
        <w:jc w:val="both"/>
      </w:pPr>
      <w:r w:rsidRPr="00D41E50">
        <w:lastRenderedPageBreak/>
        <w:t>This page has been intentionally left blank</w:t>
      </w:r>
    </w:p>
    <w:p w14:paraId="0FF4832C" w14:textId="77777777" w:rsidR="00311D7F" w:rsidRPr="00D41E50" w:rsidRDefault="00311D7F" w:rsidP="00311E73">
      <w:pPr>
        <w:jc w:val="both"/>
      </w:pPr>
    </w:p>
    <w:p w14:paraId="0FF4832D" w14:textId="77777777" w:rsidR="00311D7F" w:rsidRPr="00D41E50" w:rsidRDefault="00311D7F" w:rsidP="00311E73">
      <w:pPr>
        <w:jc w:val="both"/>
        <w:sectPr w:rsidR="00311D7F" w:rsidRPr="00D41E50" w:rsidSect="00700E17">
          <w:headerReference w:type="even" r:id="rId11"/>
          <w:headerReference w:type="default" r:id="rId12"/>
          <w:footerReference w:type="even" r:id="rId13"/>
          <w:footerReference w:type="default" r:id="rId14"/>
          <w:headerReference w:type="first" r:id="rId15"/>
          <w:footerReference w:type="first" r:id="rId16"/>
          <w:pgSz w:w="11905" w:h="16838"/>
          <w:pgMar w:top="1440" w:right="1440" w:bottom="1440" w:left="1440" w:header="357" w:footer="720" w:gutter="0"/>
          <w:cols w:space="720"/>
          <w:titlePg/>
        </w:sectPr>
      </w:pPr>
    </w:p>
    <w:p w14:paraId="0FF4832E" w14:textId="77777777" w:rsidR="00311D7F" w:rsidRPr="00D41E50" w:rsidRDefault="00311D7F" w:rsidP="00311E73">
      <w:pPr>
        <w:jc w:val="both"/>
        <w:rPr>
          <w:b/>
        </w:rPr>
      </w:pPr>
    </w:p>
    <w:p w14:paraId="0FF4832F" w14:textId="77777777" w:rsidR="00311D7F" w:rsidRPr="00D41E50" w:rsidRDefault="00311D7F" w:rsidP="00311E73">
      <w:pPr>
        <w:jc w:val="both"/>
        <w:rPr>
          <w:b/>
        </w:rPr>
      </w:pPr>
      <w:r w:rsidRPr="00D41E50">
        <w:rPr>
          <w:b/>
        </w:rPr>
        <w:t>Table of Contents</w:t>
      </w:r>
    </w:p>
    <w:p w14:paraId="0FF48330" w14:textId="77777777" w:rsidR="00311D7F" w:rsidRPr="00D41E50" w:rsidRDefault="00311D7F" w:rsidP="00311E73">
      <w:pPr>
        <w:jc w:val="both"/>
      </w:pPr>
    </w:p>
    <w:p w14:paraId="0FF48331" w14:textId="77777777" w:rsidR="00311D7F" w:rsidRPr="00D41E50" w:rsidRDefault="00311D7F" w:rsidP="00311E73">
      <w:pPr>
        <w:jc w:val="both"/>
      </w:pPr>
    </w:p>
    <w:p w14:paraId="1A4BC146" w14:textId="55BDA848" w:rsidR="004D0B50" w:rsidRDefault="00302D8F">
      <w:pPr>
        <w:pStyle w:val="TOC1"/>
        <w:rPr>
          <w:rFonts w:asciiTheme="minorHAnsi" w:eastAsiaTheme="minorEastAsia" w:hAnsiTheme="minorHAnsi" w:cstheme="minorBidi"/>
          <w:sz w:val="22"/>
          <w:szCs w:val="22"/>
        </w:rPr>
      </w:pPr>
      <w:r w:rsidRPr="00036935">
        <w:rPr>
          <w:sz w:val="19"/>
          <w:szCs w:val="19"/>
        </w:rPr>
        <w:fldChar w:fldCharType="begin"/>
      </w:r>
      <w:r w:rsidR="00311D7F" w:rsidRPr="00036935">
        <w:rPr>
          <w:sz w:val="19"/>
          <w:szCs w:val="19"/>
        </w:rPr>
        <w:instrText xml:space="preserve"> TOC \o "1-3" \h \z \u </w:instrText>
      </w:r>
      <w:r w:rsidRPr="00036935">
        <w:rPr>
          <w:sz w:val="19"/>
          <w:szCs w:val="19"/>
        </w:rPr>
        <w:fldChar w:fldCharType="separate"/>
      </w:r>
      <w:hyperlink w:anchor="_Toc51581940" w:history="1">
        <w:r w:rsidR="004D0B50" w:rsidRPr="00F0109E">
          <w:rPr>
            <w:rStyle w:val="Hyperlink"/>
          </w:rPr>
          <w:t>1.</w:t>
        </w:r>
        <w:r w:rsidR="004D0B50">
          <w:rPr>
            <w:rFonts w:asciiTheme="minorHAnsi" w:eastAsiaTheme="minorEastAsia" w:hAnsiTheme="minorHAnsi" w:cstheme="minorBidi"/>
            <w:sz w:val="22"/>
            <w:szCs w:val="22"/>
          </w:rPr>
          <w:tab/>
        </w:r>
        <w:r w:rsidR="004D0B50" w:rsidRPr="00F0109E">
          <w:rPr>
            <w:rStyle w:val="Hyperlink"/>
          </w:rPr>
          <w:t>Glossary of Terms</w:t>
        </w:r>
        <w:r w:rsidR="004D0B50">
          <w:rPr>
            <w:webHidden/>
          </w:rPr>
          <w:tab/>
        </w:r>
        <w:r w:rsidR="004D0B50">
          <w:rPr>
            <w:webHidden/>
          </w:rPr>
          <w:fldChar w:fldCharType="begin"/>
        </w:r>
        <w:r w:rsidR="004D0B50">
          <w:rPr>
            <w:webHidden/>
          </w:rPr>
          <w:instrText xml:space="preserve"> PAGEREF _Toc51581940 \h </w:instrText>
        </w:r>
        <w:r w:rsidR="004D0B50">
          <w:rPr>
            <w:webHidden/>
          </w:rPr>
        </w:r>
        <w:r w:rsidR="004D0B50">
          <w:rPr>
            <w:webHidden/>
          </w:rPr>
          <w:fldChar w:fldCharType="separate"/>
        </w:r>
        <w:r w:rsidR="004D0B50">
          <w:rPr>
            <w:webHidden/>
          </w:rPr>
          <w:t>4</w:t>
        </w:r>
        <w:r w:rsidR="004D0B50">
          <w:rPr>
            <w:webHidden/>
          </w:rPr>
          <w:fldChar w:fldCharType="end"/>
        </w:r>
      </w:hyperlink>
    </w:p>
    <w:p w14:paraId="67426103" w14:textId="332A6810" w:rsidR="004D0B50" w:rsidRDefault="004108E1">
      <w:pPr>
        <w:pStyle w:val="TOC1"/>
        <w:rPr>
          <w:rFonts w:asciiTheme="minorHAnsi" w:eastAsiaTheme="minorEastAsia" w:hAnsiTheme="minorHAnsi" w:cstheme="minorBidi"/>
          <w:sz w:val="22"/>
          <w:szCs w:val="22"/>
        </w:rPr>
      </w:pPr>
      <w:hyperlink w:anchor="_Toc51581941" w:history="1">
        <w:r w:rsidR="004D0B50" w:rsidRPr="00F0109E">
          <w:rPr>
            <w:rStyle w:val="Hyperlink"/>
          </w:rPr>
          <w:t>2.</w:t>
        </w:r>
        <w:r w:rsidR="004D0B50">
          <w:rPr>
            <w:rFonts w:asciiTheme="minorHAnsi" w:eastAsiaTheme="minorEastAsia" w:hAnsiTheme="minorHAnsi" w:cstheme="minorBidi"/>
            <w:sz w:val="22"/>
            <w:szCs w:val="22"/>
          </w:rPr>
          <w:tab/>
        </w:r>
        <w:r w:rsidR="004D0B50" w:rsidRPr="00F0109E">
          <w:rPr>
            <w:rStyle w:val="Hyperlink"/>
          </w:rPr>
          <w:t>Introduction</w:t>
        </w:r>
        <w:r w:rsidR="004D0B50">
          <w:rPr>
            <w:webHidden/>
          </w:rPr>
          <w:tab/>
        </w:r>
        <w:r w:rsidR="004D0B50">
          <w:rPr>
            <w:webHidden/>
          </w:rPr>
          <w:fldChar w:fldCharType="begin"/>
        </w:r>
        <w:r w:rsidR="004D0B50">
          <w:rPr>
            <w:webHidden/>
          </w:rPr>
          <w:instrText xml:space="preserve"> PAGEREF _Toc51581941 \h </w:instrText>
        </w:r>
        <w:r w:rsidR="004D0B50">
          <w:rPr>
            <w:webHidden/>
          </w:rPr>
        </w:r>
        <w:r w:rsidR="004D0B50">
          <w:rPr>
            <w:webHidden/>
          </w:rPr>
          <w:fldChar w:fldCharType="separate"/>
        </w:r>
        <w:r w:rsidR="004D0B50">
          <w:rPr>
            <w:webHidden/>
          </w:rPr>
          <w:t>4</w:t>
        </w:r>
        <w:r w:rsidR="004D0B50">
          <w:rPr>
            <w:webHidden/>
          </w:rPr>
          <w:fldChar w:fldCharType="end"/>
        </w:r>
      </w:hyperlink>
    </w:p>
    <w:p w14:paraId="78908DF9" w14:textId="74A9DAAA" w:rsidR="004D0B50" w:rsidRDefault="004108E1">
      <w:pPr>
        <w:pStyle w:val="TOC1"/>
        <w:rPr>
          <w:rFonts w:asciiTheme="minorHAnsi" w:eastAsiaTheme="minorEastAsia" w:hAnsiTheme="minorHAnsi" w:cstheme="minorBidi"/>
          <w:sz w:val="22"/>
          <w:szCs w:val="22"/>
        </w:rPr>
      </w:pPr>
      <w:hyperlink w:anchor="_Toc51581942" w:history="1">
        <w:r w:rsidR="004D0B50" w:rsidRPr="00F0109E">
          <w:rPr>
            <w:rStyle w:val="Hyperlink"/>
          </w:rPr>
          <w:t>3.</w:t>
        </w:r>
        <w:r w:rsidR="004D0B50">
          <w:rPr>
            <w:rFonts w:asciiTheme="minorHAnsi" w:eastAsiaTheme="minorEastAsia" w:hAnsiTheme="minorHAnsi" w:cstheme="minorBidi"/>
            <w:sz w:val="22"/>
            <w:szCs w:val="22"/>
          </w:rPr>
          <w:tab/>
        </w:r>
        <w:r w:rsidR="004D0B50" w:rsidRPr="00F0109E">
          <w:rPr>
            <w:rStyle w:val="Hyperlink"/>
          </w:rPr>
          <w:t>Requirement</w:t>
        </w:r>
        <w:r w:rsidR="004D0B50">
          <w:rPr>
            <w:webHidden/>
          </w:rPr>
          <w:tab/>
        </w:r>
        <w:r w:rsidR="004D0B50">
          <w:rPr>
            <w:webHidden/>
          </w:rPr>
          <w:fldChar w:fldCharType="begin"/>
        </w:r>
        <w:r w:rsidR="004D0B50">
          <w:rPr>
            <w:webHidden/>
          </w:rPr>
          <w:instrText xml:space="preserve"> PAGEREF _Toc51581942 \h </w:instrText>
        </w:r>
        <w:r w:rsidR="004D0B50">
          <w:rPr>
            <w:webHidden/>
          </w:rPr>
        </w:r>
        <w:r w:rsidR="004D0B50">
          <w:rPr>
            <w:webHidden/>
          </w:rPr>
          <w:fldChar w:fldCharType="separate"/>
        </w:r>
        <w:r w:rsidR="004D0B50">
          <w:rPr>
            <w:webHidden/>
          </w:rPr>
          <w:t>4</w:t>
        </w:r>
        <w:r w:rsidR="004D0B50">
          <w:rPr>
            <w:webHidden/>
          </w:rPr>
          <w:fldChar w:fldCharType="end"/>
        </w:r>
      </w:hyperlink>
    </w:p>
    <w:p w14:paraId="5CA37A26" w14:textId="3EEC31D4" w:rsidR="004D0B50" w:rsidRDefault="004108E1">
      <w:pPr>
        <w:pStyle w:val="TOC1"/>
        <w:rPr>
          <w:rFonts w:asciiTheme="minorHAnsi" w:eastAsiaTheme="minorEastAsia" w:hAnsiTheme="minorHAnsi" w:cstheme="minorBidi"/>
          <w:sz w:val="22"/>
          <w:szCs w:val="22"/>
        </w:rPr>
      </w:pPr>
      <w:hyperlink w:anchor="_Toc51581943" w:history="1">
        <w:r w:rsidR="004D0B50" w:rsidRPr="00F0109E">
          <w:rPr>
            <w:rStyle w:val="Hyperlink"/>
          </w:rPr>
          <w:t>4.</w:t>
        </w:r>
        <w:r w:rsidR="004D0B50">
          <w:rPr>
            <w:rFonts w:asciiTheme="minorHAnsi" w:eastAsiaTheme="minorEastAsia" w:hAnsiTheme="minorHAnsi" w:cstheme="minorBidi"/>
            <w:sz w:val="22"/>
            <w:szCs w:val="22"/>
          </w:rPr>
          <w:tab/>
        </w:r>
        <w:r w:rsidR="004D0B50" w:rsidRPr="00F0109E">
          <w:rPr>
            <w:rStyle w:val="Hyperlink"/>
          </w:rPr>
          <w:t>Interpretation</w:t>
        </w:r>
        <w:r w:rsidR="004D0B50">
          <w:rPr>
            <w:webHidden/>
          </w:rPr>
          <w:tab/>
        </w:r>
        <w:r w:rsidR="004D0B50">
          <w:rPr>
            <w:webHidden/>
          </w:rPr>
          <w:fldChar w:fldCharType="begin"/>
        </w:r>
        <w:r w:rsidR="004D0B50">
          <w:rPr>
            <w:webHidden/>
          </w:rPr>
          <w:instrText xml:space="preserve"> PAGEREF _Toc51581943 \h </w:instrText>
        </w:r>
        <w:r w:rsidR="004D0B50">
          <w:rPr>
            <w:webHidden/>
          </w:rPr>
        </w:r>
        <w:r w:rsidR="004D0B50">
          <w:rPr>
            <w:webHidden/>
          </w:rPr>
          <w:fldChar w:fldCharType="separate"/>
        </w:r>
        <w:r w:rsidR="004D0B50">
          <w:rPr>
            <w:webHidden/>
          </w:rPr>
          <w:t>4</w:t>
        </w:r>
        <w:r w:rsidR="004D0B50">
          <w:rPr>
            <w:webHidden/>
          </w:rPr>
          <w:fldChar w:fldCharType="end"/>
        </w:r>
      </w:hyperlink>
    </w:p>
    <w:p w14:paraId="0691E4D7" w14:textId="66BE71CA" w:rsidR="004D0B50" w:rsidRDefault="004108E1">
      <w:pPr>
        <w:pStyle w:val="TOC1"/>
        <w:rPr>
          <w:rFonts w:asciiTheme="minorHAnsi" w:eastAsiaTheme="minorEastAsia" w:hAnsiTheme="minorHAnsi" w:cstheme="minorBidi"/>
          <w:sz w:val="22"/>
          <w:szCs w:val="22"/>
        </w:rPr>
      </w:pPr>
      <w:hyperlink w:anchor="_Toc51581944" w:history="1">
        <w:r w:rsidR="004D0B50" w:rsidRPr="00F0109E">
          <w:rPr>
            <w:rStyle w:val="Hyperlink"/>
          </w:rPr>
          <w:t>5.</w:t>
        </w:r>
        <w:r w:rsidR="004D0B50">
          <w:rPr>
            <w:rFonts w:asciiTheme="minorHAnsi" w:eastAsiaTheme="minorEastAsia" w:hAnsiTheme="minorHAnsi" w:cstheme="minorBidi"/>
            <w:sz w:val="22"/>
            <w:szCs w:val="22"/>
          </w:rPr>
          <w:tab/>
        </w:r>
        <w:r w:rsidR="004D0B50" w:rsidRPr="00F0109E">
          <w:rPr>
            <w:rStyle w:val="Hyperlink"/>
          </w:rPr>
          <w:t>PQQ Documents</w:t>
        </w:r>
        <w:r w:rsidR="004D0B50">
          <w:rPr>
            <w:webHidden/>
          </w:rPr>
          <w:tab/>
        </w:r>
        <w:r w:rsidR="004D0B50">
          <w:rPr>
            <w:webHidden/>
          </w:rPr>
          <w:fldChar w:fldCharType="begin"/>
        </w:r>
        <w:r w:rsidR="004D0B50">
          <w:rPr>
            <w:webHidden/>
          </w:rPr>
          <w:instrText xml:space="preserve"> PAGEREF _Toc51581944 \h </w:instrText>
        </w:r>
        <w:r w:rsidR="004D0B50">
          <w:rPr>
            <w:webHidden/>
          </w:rPr>
        </w:r>
        <w:r w:rsidR="004D0B50">
          <w:rPr>
            <w:webHidden/>
          </w:rPr>
          <w:fldChar w:fldCharType="separate"/>
        </w:r>
        <w:r w:rsidR="004D0B50">
          <w:rPr>
            <w:webHidden/>
          </w:rPr>
          <w:t>4</w:t>
        </w:r>
        <w:r w:rsidR="004D0B50">
          <w:rPr>
            <w:webHidden/>
          </w:rPr>
          <w:fldChar w:fldCharType="end"/>
        </w:r>
      </w:hyperlink>
    </w:p>
    <w:p w14:paraId="2604C833" w14:textId="6EAB3C56" w:rsidR="004D0B50" w:rsidRDefault="004108E1">
      <w:pPr>
        <w:pStyle w:val="TOC1"/>
        <w:rPr>
          <w:rFonts w:asciiTheme="minorHAnsi" w:eastAsiaTheme="minorEastAsia" w:hAnsiTheme="minorHAnsi" w:cstheme="minorBidi"/>
          <w:sz w:val="22"/>
          <w:szCs w:val="22"/>
        </w:rPr>
      </w:pPr>
      <w:hyperlink w:anchor="_Toc51581945" w:history="1">
        <w:r w:rsidR="004D0B50" w:rsidRPr="00F0109E">
          <w:rPr>
            <w:rStyle w:val="Hyperlink"/>
          </w:rPr>
          <w:t>6.</w:t>
        </w:r>
        <w:r w:rsidR="004D0B50">
          <w:rPr>
            <w:rFonts w:asciiTheme="minorHAnsi" w:eastAsiaTheme="minorEastAsia" w:hAnsiTheme="minorHAnsi" w:cstheme="minorBidi"/>
            <w:sz w:val="22"/>
            <w:szCs w:val="22"/>
          </w:rPr>
          <w:tab/>
        </w:r>
        <w:r w:rsidR="004D0B50" w:rsidRPr="00F0109E">
          <w:rPr>
            <w:rStyle w:val="Hyperlink"/>
          </w:rPr>
          <w:t>PQQ Instructions for Completion and Evaluation Criteria</w:t>
        </w:r>
        <w:r w:rsidR="004D0B50">
          <w:rPr>
            <w:webHidden/>
          </w:rPr>
          <w:tab/>
        </w:r>
        <w:r w:rsidR="004D0B50">
          <w:rPr>
            <w:webHidden/>
          </w:rPr>
          <w:fldChar w:fldCharType="begin"/>
        </w:r>
        <w:r w:rsidR="004D0B50">
          <w:rPr>
            <w:webHidden/>
          </w:rPr>
          <w:instrText xml:space="preserve"> PAGEREF _Toc51581945 \h </w:instrText>
        </w:r>
        <w:r w:rsidR="004D0B50">
          <w:rPr>
            <w:webHidden/>
          </w:rPr>
        </w:r>
        <w:r w:rsidR="004D0B50">
          <w:rPr>
            <w:webHidden/>
          </w:rPr>
          <w:fldChar w:fldCharType="separate"/>
        </w:r>
        <w:r w:rsidR="004D0B50">
          <w:rPr>
            <w:webHidden/>
          </w:rPr>
          <w:t>5</w:t>
        </w:r>
        <w:r w:rsidR="004D0B50">
          <w:rPr>
            <w:webHidden/>
          </w:rPr>
          <w:fldChar w:fldCharType="end"/>
        </w:r>
      </w:hyperlink>
    </w:p>
    <w:p w14:paraId="208119EE" w14:textId="2970F9C9" w:rsidR="004D0B50" w:rsidRDefault="004108E1">
      <w:pPr>
        <w:pStyle w:val="TOC1"/>
        <w:rPr>
          <w:rFonts w:asciiTheme="minorHAnsi" w:eastAsiaTheme="minorEastAsia" w:hAnsiTheme="minorHAnsi" w:cstheme="minorBidi"/>
          <w:sz w:val="22"/>
          <w:szCs w:val="22"/>
        </w:rPr>
      </w:pPr>
      <w:hyperlink w:anchor="_Toc51581946" w:history="1">
        <w:r w:rsidR="004D0B50" w:rsidRPr="00F0109E">
          <w:rPr>
            <w:rStyle w:val="Hyperlink"/>
          </w:rPr>
          <w:t>7.</w:t>
        </w:r>
        <w:r w:rsidR="004D0B50">
          <w:rPr>
            <w:rFonts w:asciiTheme="minorHAnsi" w:eastAsiaTheme="minorEastAsia" w:hAnsiTheme="minorHAnsi" w:cstheme="minorBidi"/>
            <w:sz w:val="22"/>
            <w:szCs w:val="22"/>
          </w:rPr>
          <w:tab/>
        </w:r>
        <w:r w:rsidR="004D0B50" w:rsidRPr="00F0109E">
          <w:rPr>
            <w:rStyle w:val="Hyperlink"/>
          </w:rPr>
          <w:t>Communications and Queries</w:t>
        </w:r>
        <w:r w:rsidR="004D0B50">
          <w:rPr>
            <w:webHidden/>
          </w:rPr>
          <w:tab/>
        </w:r>
        <w:r w:rsidR="004D0B50">
          <w:rPr>
            <w:webHidden/>
          </w:rPr>
          <w:fldChar w:fldCharType="begin"/>
        </w:r>
        <w:r w:rsidR="004D0B50">
          <w:rPr>
            <w:webHidden/>
          </w:rPr>
          <w:instrText xml:space="preserve"> PAGEREF _Toc51581946 \h </w:instrText>
        </w:r>
        <w:r w:rsidR="004D0B50">
          <w:rPr>
            <w:webHidden/>
          </w:rPr>
        </w:r>
        <w:r w:rsidR="004D0B50">
          <w:rPr>
            <w:webHidden/>
          </w:rPr>
          <w:fldChar w:fldCharType="separate"/>
        </w:r>
        <w:r w:rsidR="004D0B50">
          <w:rPr>
            <w:webHidden/>
          </w:rPr>
          <w:t>6</w:t>
        </w:r>
        <w:r w:rsidR="004D0B50">
          <w:rPr>
            <w:webHidden/>
          </w:rPr>
          <w:fldChar w:fldCharType="end"/>
        </w:r>
      </w:hyperlink>
    </w:p>
    <w:p w14:paraId="13CC8B4B" w14:textId="40A7E033" w:rsidR="004D0B50" w:rsidRDefault="004108E1">
      <w:pPr>
        <w:pStyle w:val="TOC1"/>
        <w:rPr>
          <w:rFonts w:asciiTheme="minorHAnsi" w:eastAsiaTheme="minorEastAsia" w:hAnsiTheme="minorHAnsi" w:cstheme="minorBidi"/>
          <w:sz w:val="22"/>
          <w:szCs w:val="22"/>
        </w:rPr>
      </w:pPr>
      <w:hyperlink w:anchor="_Toc51581947" w:history="1">
        <w:r w:rsidR="004D0B50" w:rsidRPr="00F0109E">
          <w:rPr>
            <w:rStyle w:val="Hyperlink"/>
          </w:rPr>
          <w:t>8.</w:t>
        </w:r>
        <w:r w:rsidR="004D0B50">
          <w:rPr>
            <w:rFonts w:asciiTheme="minorHAnsi" w:eastAsiaTheme="minorEastAsia" w:hAnsiTheme="minorHAnsi" w:cstheme="minorBidi"/>
            <w:sz w:val="22"/>
            <w:szCs w:val="22"/>
          </w:rPr>
          <w:tab/>
        </w:r>
        <w:r w:rsidR="004D0B50" w:rsidRPr="00F0109E">
          <w:rPr>
            <w:rStyle w:val="Hyperlink"/>
          </w:rPr>
          <w:t>Confidentiality and Intellectual Property Rights</w:t>
        </w:r>
        <w:r w:rsidR="004D0B50">
          <w:rPr>
            <w:webHidden/>
          </w:rPr>
          <w:tab/>
        </w:r>
        <w:r w:rsidR="004D0B50">
          <w:rPr>
            <w:webHidden/>
          </w:rPr>
          <w:fldChar w:fldCharType="begin"/>
        </w:r>
        <w:r w:rsidR="004D0B50">
          <w:rPr>
            <w:webHidden/>
          </w:rPr>
          <w:instrText xml:space="preserve"> PAGEREF _Toc51581947 \h </w:instrText>
        </w:r>
        <w:r w:rsidR="004D0B50">
          <w:rPr>
            <w:webHidden/>
          </w:rPr>
        </w:r>
        <w:r w:rsidR="004D0B50">
          <w:rPr>
            <w:webHidden/>
          </w:rPr>
          <w:fldChar w:fldCharType="separate"/>
        </w:r>
        <w:r w:rsidR="004D0B50">
          <w:rPr>
            <w:webHidden/>
          </w:rPr>
          <w:t>6</w:t>
        </w:r>
        <w:r w:rsidR="004D0B50">
          <w:rPr>
            <w:webHidden/>
          </w:rPr>
          <w:fldChar w:fldCharType="end"/>
        </w:r>
      </w:hyperlink>
    </w:p>
    <w:p w14:paraId="290868D5" w14:textId="6B795BD4" w:rsidR="004D0B50" w:rsidRDefault="004108E1">
      <w:pPr>
        <w:pStyle w:val="TOC1"/>
        <w:rPr>
          <w:rFonts w:asciiTheme="minorHAnsi" w:eastAsiaTheme="minorEastAsia" w:hAnsiTheme="minorHAnsi" w:cstheme="minorBidi"/>
          <w:sz w:val="22"/>
          <w:szCs w:val="22"/>
        </w:rPr>
      </w:pPr>
      <w:hyperlink w:anchor="_Toc51581948" w:history="1">
        <w:r w:rsidR="004D0B50" w:rsidRPr="00F0109E">
          <w:rPr>
            <w:rStyle w:val="Hyperlink"/>
          </w:rPr>
          <w:t>9.</w:t>
        </w:r>
        <w:r w:rsidR="004D0B50">
          <w:rPr>
            <w:rFonts w:asciiTheme="minorHAnsi" w:eastAsiaTheme="minorEastAsia" w:hAnsiTheme="minorHAnsi" w:cstheme="minorBidi"/>
            <w:sz w:val="22"/>
            <w:szCs w:val="22"/>
          </w:rPr>
          <w:tab/>
        </w:r>
        <w:r w:rsidR="004D0B50" w:rsidRPr="00F0109E">
          <w:rPr>
            <w:rStyle w:val="Hyperlink"/>
          </w:rPr>
          <w:t>Acknowledgement</w:t>
        </w:r>
        <w:r w:rsidR="004D0B50">
          <w:rPr>
            <w:webHidden/>
          </w:rPr>
          <w:tab/>
        </w:r>
        <w:r w:rsidR="004D0B50">
          <w:rPr>
            <w:webHidden/>
          </w:rPr>
          <w:fldChar w:fldCharType="begin"/>
        </w:r>
        <w:r w:rsidR="004D0B50">
          <w:rPr>
            <w:webHidden/>
          </w:rPr>
          <w:instrText xml:space="preserve"> PAGEREF _Toc51581948 \h </w:instrText>
        </w:r>
        <w:r w:rsidR="004D0B50">
          <w:rPr>
            <w:webHidden/>
          </w:rPr>
        </w:r>
        <w:r w:rsidR="004D0B50">
          <w:rPr>
            <w:webHidden/>
          </w:rPr>
          <w:fldChar w:fldCharType="separate"/>
        </w:r>
        <w:r w:rsidR="004D0B50">
          <w:rPr>
            <w:webHidden/>
          </w:rPr>
          <w:t>7</w:t>
        </w:r>
        <w:r w:rsidR="004D0B50">
          <w:rPr>
            <w:webHidden/>
          </w:rPr>
          <w:fldChar w:fldCharType="end"/>
        </w:r>
      </w:hyperlink>
    </w:p>
    <w:p w14:paraId="42AA69C7" w14:textId="446263A2" w:rsidR="004D0B50" w:rsidRDefault="004108E1">
      <w:pPr>
        <w:pStyle w:val="TOC1"/>
        <w:rPr>
          <w:rFonts w:asciiTheme="minorHAnsi" w:eastAsiaTheme="minorEastAsia" w:hAnsiTheme="minorHAnsi" w:cstheme="minorBidi"/>
          <w:sz w:val="22"/>
          <w:szCs w:val="22"/>
        </w:rPr>
      </w:pPr>
      <w:hyperlink w:anchor="_Toc51581949" w:history="1">
        <w:r w:rsidR="004D0B50" w:rsidRPr="00F0109E">
          <w:rPr>
            <w:rStyle w:val="Hyperlink"/>
          </w:rPr>
          <w:t>10.</w:t>
        </w:r>
        <w:r w:rsidR="004D0B50">
          <w:rPr>
            <w:rFonts w:asciiTheme="minorHAnsi" w:eastAsiaTheme="minorEastAsia" w:hAnsiTheme="minorHAnsi" w:cstheme="minorBidi"/>
            <w:sz w:val="22"/>
            <w:szCs w:val="22"/>
          </w:rPr>
          <w:tab/>
        </w:r>
        <w:r w:rsidR="004D0B50" w:rsidRPr="00F0109E">
          <w:rPr>
            <w:rStyle w:val="Hyperlink"/>
          </w:rPr>
          <w:t>Information Submissions</w:t>
        </w:r>
        <w:r w:rsidR="004D0B50">
          <w:rPr>
            <w:webHidden/>
          </w:rPr>
          <w:tab/>
        </w:r>
        <w:r w:rsidR="004D0B50">
          <w:rPr>
            <w:webHidden/>
          </w:rPr>
          <w:fldChar w:fldCharType="begin"/>
        </w:r>
        <w:r w:rsidR="004D0B50">
          <w:rPr>
            <w:webHidden/>
          </w:rPr>
          <w:instrText xml:space="preserve"> PAGEREF _Toc51581949 \h </w:instrText>
        </w:r>
        <w:r w:rsidR="004D0B50">
          <w:rPr>
            <w:webHidden/>
          </w:rPr>
        </w:r>
        <w:r w:rsidR="004D0B50">
          <w:rPr>
            <w:webHidden/>
          </w:rPr>
          <w:fldChar w:fldCharType="separate"/>
        </w:r>
        <w:r w:rsidR="004D0B50">
          <w:rPr>
            <w:webHidden/>
          </w:rPr>
          <w:t>7</w:t>
        </w:r>
        <w:r w:rsidR="004D0B50">
          <w:rPr>
            <w:webHidden/>
          </w:rPr>
          <w:fldChar w:fldCharType="end"/>
        </w:r>
      </w:hyperlink>
    </w:p>
    <w:p w14:paraId="1EA8CC30" w14:textId="5ABA1949" w:rsidR="004D0B50" w:rsidRDefault="004108E1">
      <w:pPr>
        <w:pStyle w:val="TOC2"/>
        <w:tabs>
          <w:tab w:val="left" w:pos="880"/>
          <w:tab w:val="right" w:leader="dot" w:pos="8296"/>
        </w:tabs>
        <w:rPr>
          <w:rFonts w:eastAsiaTheme="minorEastAsia" w:cstheme="minorBidi"/>
          <w:noProof/>
          <w:sz w:val="22"/>
          <w:szCs w:val="22"/>
        </w:rPr>
      </w:pPr>
      <w:hyperlink w:anchor="_Toc51581952" w:history="1">
        <w:r w:rsidR="004D0B50" w:rsidRPr="00F0109E">
          <w:rPr>
            <w:rStyle w:val="Hyperlink"/>
            <w:noProof/>
          </w:rPr>
          <w:t>10.1</w:t>
        </w:r>
        <w:r w:rsidR="004D0B50">
          <w:rPr>
            <w:rFonts w:eastAsiaTheme="minorEastAsia" w:cstheme="minorBidi"/>
            <w:noProof/>
            <w:sz w:val="22"/>
            <w:szCs w:val="22"/>
          </w:rPr>
          <w:tab/>
        </w:r>
        <w:r w:rsidR="004D0B50" w:rsidRPr="00F0109E">
          <w:rPr>
            <w:rStyle w:val="Hyperlink"/>
            <w:noProof/>
          </w:rPr>
          <w:t>Language</w:t>
        </w:r>
        <w:r w:rsidR="004D0B50">
          <w:rPr>
            <w:noProof/>
            <w:webHidden/>
          </w:rPr>
          <w:tab/>
        </w:r>
        <w:r w:rsidR="004D0B50">
          <w:rPr>
            <w:noProof/>
            <w:webHidden/>
          </w:rPr>
          <w:fldChar w:fldCharType="begin"/>
        </w:r>
        <w:r w:rsidR="004D0B50">
          <w:rPr>
            <w:noProof/>
            <w:webHidden/>
          </w:rPr>
          <w:instrText xml:space="preserve"> PAGEREF _Toc51581952 \h </w:instrText>
        </w:r>
        <w:r w:rsidR="004D0B50">
          <w:rPr>
            <w:noProof/>
            <w:webHidden/>
          </w:rPr>
        </w:r>
        <w:r w:rsidR="004D0B50">
          <w:rPr>
            <w:noProof/>
            <w:webHidden/>
          </w:rPr>
          <w:fldChar w:fldCharType="separate"/>
        </w:r>
        <w:r w:rsidR="004D0B50">
          <w:rPr>
            <w:noProof/>
            <w:webHidden/>
          </w:rPr>
          <w:t>7</w:t>
        </w:r>
        <w:r w:rsidR="004D0B50">
          <w:rPr>
            <w:noProof/>
            <w:webHidden/>
          </w:rPr>
          <w:fldChar w:fldCharType="end"/>
        </w:r>
      </w:hyperlink>
    </w:p>
    <w:p w14:paraId="4CAE1F8F" w14:textId="6FBBAC8F" w:rsidR="004D0B50" w:rsidRDefault="004108E1">
      <w:pPr>
        <w:pStyle w:val="TOC2"/>
        <w:tabs>
          <w:tab w:val="left" w:pos="880"/>
          <w:tab w:val="right" w:leader="dot" w:pos="8296"/>
        </w:tabs>
        <w:rPr>
          <w:rFonts w:eastAsiaTheme="minorEastAsia" w:cstheme="minorBidi"/>
          <w:noProof/>
          <w:sz w:val="22"/>
          <w:szCs w:val="22"/>
        </w:rPr>
      </w:pPr>
      <w:hyperlink w:anchor="_Toc51581953" w:history="1">
        <w:r w:rsidR="004D0B50" w:rsidRPr="00F0109E">
          <w:rPr>
            <w:rStyle w:val="Hyperlink"/>
            <w:noProof/>
          </w:rPr>
          <w:t>10.2</w:t>
        </w:r>
        <w:r w:rsidR="004D0B50">
          <w:rPr>
            <w:rFonts w:eastAsiaTheme="minorEastAsia" w:cstheme="minorBidi"/>
            <w:noProof/>
            <w:sz w:val="22"/>
            <w:szCs w:val="22"/>
          </w:rPr>
          <w:tab/>
        </w:r>
        <w:r w:rsidR="004D0B50" w:rsidRPr="00F0109E">
          <w:rPr>
            <w:rStyle w:val="Hyperlink"/>
            <w:noProof/>
          </w:rPr>
          <w:t>Potential Applicants PQQ Commitment</w:t>
        </w:r>
        <w:r w:rsidR="004D0B50">
          <w:rPr>
            <w:noProof/>
            <w:webHidden/>
          </w:rPr>
          <w:tab/>
        </w:r>
        <w:r w:rsidR="004D0B50">
          <w:rPr>
            <w:noProof/>
            <w:webHidden/>
          </w:rPr>
          <w:fldChar w:fldCharType="begin"/>
        </w:r>
        <w:r w:rsidR="004D0B50">
          <w:rPr>
            <w:noProof/>
            <w:webHidden/>
          </w:rPr>
          <w:instrText xml:space="preserve"> PAGEREF _Toc51581953 \h </w:instrText>
        </w:r>
        <w:r w:rsidR="004D0B50">
          <w:rPr>
            <w:noProof/>
            <w:webHidden/>
          </w:rPr>
        </w:r>
        <w:r w:rsidR="004D0B50">
          <w:rPr>
            <w:noProof/>
            <w:webHidden/>
          </w:rPr>
          <w:fldChar w:fldCharType="separate"/>
        </w:r>
        <w:r w:rsidR="004D0B50">
          <w:rPr>
            <w:noProof/>
            <w:webHidden/>
          </w:rPr>
          <w:t>7</w:t>
        </w:r>
        <w:r w:rsidR="004D0B50">
          <w:rPr>
            <w:noProof/>
            <w:webHidden/>
          </w:rPr>
          <w:fldChar w:fldCharType="end"/>
        </w:r>
      </w:hyperlink>
    </w:p>
    <w:p w14:paraId="4EFD8DC9" w14:textId="601B02D9" w:rsidR="004D0B50" w:rsidRDefault="004108E1">
      <w:pPr>
        <w:pStyle w:val="TOC2"/>
        <w:tabs>
          <w:tab w:val="left" w:pos="880"/>
          <w:tab w:val="right" w:leader="dot" w:pos="8296"/>
        </w:tabs>
        <w:rPr>
          <w:rFonts w:eastAsiaTheme="minorEastAsia" w:cstheme="minorBidi"/>
          <w:noProof/>
          <w:sz w:val="22"/>
          <w:szCs w:val="22"/>
        </w:rPr>
      </w:pPr>
      <w:hyperlink w:anchor="_Toc51581954" w:history="1">
        <w:r w:rsidR="004D0B50" w:rsidRPr="00F0109E">
          <w:rPr>
            <w:rStyle w:val="Hyperlink"/>
            <w:noProof/>
          </w:rPr>
          <w:t>10.3</w:t>
        </w:r>
        <w:r w:rsidR="004D0B50">
          <w:rPr>
            <w:rFonts w:eastAsiaTheme="minorEastAsia" w:cstheme="minorBidi"/>
            <w:noProof/>
            <w:sz w:val="22"/>
            <w:szCs w:val="22"/>
          </w:rPr>
          <w:tab/>
        </w:r>
        <w:r w:rsidR="004D0B50" w:rsidRPr="00F0109E">
          <w:rPr>
            <w:rStyle w:val="Hyperlink"/>
            <w:noProof/>
          </w:rPr>
          <w:t>Compliant PQQ Responses</w:t>
        </w:r>
        <w:r w:rsidR="004D0B50">
          <w:rPr>
            <w:noProof/>
            <w:webHidden/>
          </w:rPr>
          <w:tab/>
        </w:r>
        <w:r w:rsidR="004D0B50">
          <w:rPr>
            <w:noProof/>
            <w:webHidden/>
          </w:rPr>
          <w:fldChar w:fldCharType="begin"/>
        </w:r>
        <w:r w:rsidR="004D0B50">
          <w:rPr>
            <w:noProof/>
            <w:webHidden/>
          </w:rPr>
          <w:instrText xml:space="preserve"> PAGEREF _Toc51581954 \h </w:instrText>
        </w:r>
        <w:r w:rsidR="004D0B50">
          <w:rPr>
            <w:noProof/>
            <w:webHidden/>
          </w:rPr>
        </w:r>
        <w:r w:rsidR="004D0B50">
          <w:rPr>
            <w:noProof/>
            <w:webHidden/>
          </w:rPr>
          <w:fldChar w:fldCharType="separate"/>
        </w:r>
        <w:r w:rsidR="004D0B50">
          <w:rPr>
            <w:noProof/>
            <w:webHidden/>
          </w:rPr>
          <w:t>7</w:t>
        </w:r>
        <w:r w:rsidR="004D0B50">
          <w:rPr>
            <w:noProof/>
            <w:webHidden/>
          </w:rPr>
          <w:fldChar w:fldCharType="end"/>
        </w:r>
      </w:hyperlink>
    </w:p>
    <w:p w14:paraId="703533E1" w14:textId="0DC2A81C" w:rsidR="004D0B50" w:rsidRDefault="004108E1">
      <w:pPr>
        <w:pStyle w:val="TOC2"/>
        <w:tabs>
          <w:tab w:val="left" w:pos="880"/>
          <w:tab w:val="right" w:leader="dot" w:pos="8296"/>
        </w:tabs>
        <w:rPr>
          <w:rFonts w:eastAsiaTheme="minorEastAsia" w:cstheme="minorBidi"/>
          <w:noProof/>
          <w:sz w:val="22"/>
          <w:szCs w:val="22"/>
        </w:rPr>
      </w:pPr>
      <w:hyperlink w:anchor="_Toc51581955" w:history="1">
        <w:r w:rsidR="004D0B50" w:rsidRPr="00F0109E">
          <w:rPr>
            <w:rStyle w:val="Hyperlink"/>
            <w:noProof/>
          </w:rPr>
          <w:t>10.4</w:t>
        </w:r>
        <w:r w:rsidR="004D0B50">
          <w:rPr>
            <w:rFonts w:eastAsiaTheme="minorEastAsia" w:cstheme="minorBidi"/>
            <w:noProof/>
            <w:sz w:val="22"/>
            <w:szCs w:val="22"/>
          </w:rPr>
          <w:tab/>
        </w:r>
        <w:r w:rsidR="004D0B50" w:rsidRPr="00F0109E">
          <w:rPr>
            <w:rStyle w:val="Hyperlink"/>
            <w:noProof/>
          </w:rPr>
          <w:t>PQQ Closing Date</w:t>
        </w:r>
        <w:r w:rsidR="004D0B50">
          <w:rPr>
            <w:noProof/>
            <w:webHidden/>
          </w:rPr>
          <w:tab/>
        </w:r>
        <w:r w:rsidR="004D0B50">
          <w:rPr>
            <w:noProof/>
            <w:webHidden/>
          </w:rPr>
          <w:fldChar w:fldCharType="begin"/>
        </w:r>
        <w:r w:rsidR="004D0B50">
          <w:rPr>
            <w:noProof/>
            <w:webHidden/>
          </w:rPr>
          <w:instrText xml:space="preserve"> PAGEREF _Toc51581955 \h </w:instrText>
        </w:r>
        <w:r w:rsidR="004D0B50">
          <w:rPr>
            <w:noProof/>
            <w:webHidden/>
          </w:rPr>
        </w:r>
        <w:r w:rsidR="004D0B50">
          <w:rPr>
            <w:noProof/>
            <w:webHidden/>
          </w:rPr>
          <w:fldChar w:fldCharType="separate"/>
        </w:r>
        <w:r w:rsidR="004D0B50">
          <w:rPr>
            <w:noProof/>
            <w:webHidden/>
          </w:rPr>
          <w:t>7</w:t>
        </w:r>
        <w:r w:rsidR="004D0B50">
          <w:rPr>
            <w:noProof/>
            <w:webHidden/>
          </w:rPr>
          <w:fldChar w:fldCharType="end"/>
        </w:r>
      </w:hyperlink>
    </w:p>
    <w:p w14:paraId="4414331A" w14:textId="3A7D325B" w:rsidR="004D0B50" w:rsidRDefault="004108E1">
      <w:pPr>
        <w:pStyle w:val="TOC2"/>
        <w:tabs>
          <w:tab w:val="left" w:pos="880"/>
          <w:tab w:val="right" w:leader="dot" w:pos="8296"/>
        </w:tabs>
        <w:rPr>
          <w:rFonts w:eastAsiaTheme="minorEastAsia" w:cstheme="minorBidi"/>
          <w:noProof/>
          <w:sz w:val="22"/>
          <w:szCs w:val="22"/>
        </w:rPr>
      </w:pPr>
      <w:hyperlink w:anchor="_Toc51581956" w:history="1">
        <w:r w:rsidR="004D0B50" w:rsidRPr="00F0109E">
          <w:rPr>
            <w:rStyle w:val="Hyperlink"/>
            <w:noProof/>
          </w:rPr>
          <w:t>10.5</w:t>
        </w:r>
        <w:r w:rsidR="004D0B50">
          <w:rPr>
            <w:rFonts w:eastAsiaTheme="minorEastAsia" w:cstheme="minorBidi"/>
            <w:noProof/>
            <w:sz w:val="22"/>
            <w:szCs w:val="22"/>
          </w:rPr>
          <w:tab/>
        </w:r>
        <w:r w:rsidR="004D0B50" w:rsidRPr="00F0109E">
          <w:rPr>
            <w:rStyle w:val="Hyperlink"/>
            <w:noProof/>
          </w:rPr>
          <w:t>Cancellation or Amendment to the PQQ</w:t>
        </w:r>
        <w:r w:rsidR="004D0B50">
          <w:rPr>
            <w:noProof/>
            <w:webHidden/>
          </w:rPr>
          <w:tab/>
        </w:r>
        <w:r w:rsidR="004D0B50">
          <w:rPr>
            <w:noProof/>
            <w:webHidden/>
          </w:rPr>
          <w:fldChar w:fldCharType="begin"/>
        </w:r>
        <w:r w:rsidR="004D0B50">
          <w:rPr>
            <w:noProof/>
            <w:webHidden/>
          </w:rPr>
          <w:instrText xml:space="preserve"> PAGEREF _Toc51581956 \h </w:instrText>
        </w:r>
        <w:r w:rsidR="004D0B50">
          <w:rPr>
            <w:noProof/>
            <w:webHidden/>
          </w:rPr>
        </w:r>
        <w:r w:rsidR="004D0B50">
          <w:rPr>
            <w:noProof/>
            <w:webHidden/>
          </w:rPr>
          <w:fldChar w:fldCharType="separate"/>
        </w:r>
        <w:r w:rsidR="004D0B50">
          <w:rPr>
            <w:noProof/>
            <w:webHidden/>
          </w:rPr>
          <w:t>8</w:t>
        </w:r>
        <w:r w:rsidR="004D0B50">
          <w:rPr>
            <w:noProof/>
            <w:webHidden/>
          </w:rPr>
          <w:fldChar w:fldCharType="end"/>
        </w:r>
      </w:hyperlink>
    </w:p>
    <w:p w14:paraId="55F949BB" w14:textId="79366F6D" w:rsidR="004D0B50" w:rsidRDefault="004108E1">
      <w:pPr>
        <w:pStyle w:val="TOC2"/>
        <w:tabs>
          <w:tab w:val="left" w:pos="880"/>
          <w:tab w:val="right" w:leader="dot" w:pos="8296"/>
        </w:tabs>
        <w:rPr>
          <w:rFonts w:eastAsiaTheme="minorEastAsia" w:cstheme="minorBidi"/>
          <w:noProof/>
          <w:sz w:val="22"/>
          <w:szCs w:val="22"/>
        </w:rPr>
      </w:pPr>
      <w:hyperlink w:anchor="_Toc51581957" w:history="1">
        <w:r w:rsidR="004D0B50" w:rsidRPr="00F0109E">
          <w:rPr>
            <w:rStyle w:val="Hyperlink"/>
            <w:noProof/>
          </w:rPr>
          <w:t>10.6</w:t>
        </w:r>
        <w:r w:rsidR="004D0B50">
          <w:rPr>
            <w:rFonts w:eastAsiaTheme="minorEastAsia" w:cstheme="minorBidi"/>
            <w:noProof/>
            <w:sz w:val="22"/>
            <w:szCs w:val="22"/>
          </w:rPr>
          <w:tab/>
        </w:r>
        <w:r w:rsidR="004D0B50" w:rsidRPr="00F0109E">
          <w:rPr>
            <w:rStyle w:val="Hyperlink"/>
            <w:noProof/>
          </w:rPr>
          <w:t>Timetable</w:t>
        </w:r>
        <w:r w:rsidR="004D0B50">
          <w:rPr>
            <w:noProof/>
            <w:webHidden/>
          </w:rPr>
          <w:tab/>
        </w:r>
        <w:r w:rsidR="004D0B50">
          <w:rPr>
            <w:noProof/>
            <w:webHidden/>
          </w:rPr>
          <w:fldChar w:fldCharType="begin"/>
        </w:r>
        <w:r w:rsidR="004D0B50">
          <w:rPr>
            <w:noProof/>
            <w:webHidden/>
          </w:rPr>
          <w:instrText xml:space="preserve"> PAGEREF _Toc51581957 \h </w:instrText>
        </w:r>
        <w:r w:rsidR="004D0B50">
          <w:rPr>
            <w:noProof/>
            <w:webHidden/>
          </w:rPr>
        </w:r>
        <w:r w:rsidR="004D0B50">
          <w:rPr>
            <w:noProof/>
            <w:webHidden/>
          </w:rPr>
          <w:fldChar w:fldCharType="separate"/>
        </w:r>
        <w:r w:rsidR="004D0B50">
          <w:rPr>
            <w:noProof/>
            <w:webHidden/>
          </w:rPr>
          <w:t>8</w:t>
        </w:r>
        <w:r w:rsidR="004D0B50">
          <w:rPr>
            <w:noProof/>
            <w:webHidden/>
          </w:rPr>
          <w:fldChar w:fldCharType="end"/>
        </w:r>
      </w:hyperlink>
    </w:p>
    <w:p w14:paraId="0FF48344" w14:textId="264E0613" w:rsidR="00311D7F" w:rsidRPr="00D41E50" w:rsidRDefault="00302D8F" w:rsidP="00311E73">
      <w:pPr>
        <w:jc w:val="both"/>
      </w:pPr>
      <w:r w:rsidRPr="00036935">
        <w:rPr>
          <w:sz w:val="19"/>
          <w:szCs w:val="19"/>
        </w:rPr>
        <w:fldChar w:fldCharType="end"/>
      </w:r>
    </w:p>
    <w:p w14:paraId="0FF48345" w14:textId="77777777" w:rsidR="00311D7F" w:rsidRPr="00D41E50" w:rsidRDefault="00311D7F" w:rsidP="00311E73">
      <w:pPr>
        <w:jc w:val="both"/>
      </w:pPr>
    </w:p>
    <w:p w14:paraId="0FF48346" w14:textId="77777777" w:rsidR="00311D7F" w:rsidRPr="00D41E50" w:rsidRDefault="00311D7F" w:rsidP="00311E73">
      <w:pPr>
        <w:jc w:val="both"/>
      </w:pPr>
    </w:p>
    <w:p w14:paraId="0FF48347" w14:textId="77777777" w:rsidR="00311D7F" w:rsidRPr="00D41E50" w:rsidRDefault="00311D7F" w:rsidP="00311E73">
      <w:pPr>
        <w:jc w:val="both"/>
        <w:rPr>
          <w:u w:val="single"/>
        </w:rPr>
      </w:pPr>
      <w:r w:rsidRPr="00D41E50">
        <w:br w:type="page"/>
      </w:r>
    </w:p>
    <w:p w14:paraId="0FF48348" w14:textId="77777777" w:rsidR="00311D7F" w:rsidRPr="00D41E50" w:rsidRDefault="00A9700A" w:rsidP="00311E73">
      <w:pPr>
        <w:jc w:val="both"/>
        <w:rPr>
          <w:b/>
          <w:szCs w:val="20"/>
        </w:rPr>
      </w:pPr>
      <w:r>
        <w:rPr>
          <w:b/>
          <w:szCs w:val="20"/>
        </w:rPr>
        <w:lastRenderedPageBreak/>
        <w:t xml:space="preserve">INSTRUCTIONS TO </w:t>
      </w:r>
      <w:r w:rsidR="00943583">
        <w:rPr>
          <w:b/>
          <w:szCs w:val="20"/>
        </w:rPr>
        <w:t xml:space="preserve">POTENTIAL </w:t>
      </w:r>
      <w:r>
        <w:rPr>
          <w:b/>
          <w:szCs w:val="20"/>
        </w:rPr>
        <w:t>APPLICANTS</w:t>
      </w:r>
    </w:p>
    <w:p w14:paraId="0FF48349" w14:textId="77777777" w:rsidR="00311D7F" w:rsidRPr="00D41E50" w:rsidRDefault="00311D7F" w:rsidP="00311E73">
      <w:pPr>
        <w:jc w:val="both"/>
        <w:rPr>
          <w:szCs w:val="20"/>
        </w:rPr>
      </w:pPr>
    </w:p>
    <w:p w14:paraId="0FF4834A" w14:textId="77777777" w:rsidR="00E22599" w:rsidRDefault="00E22599" w:rsidP="00311E73">
      <w:pPr>
        <w:pStyle w:val="Heading1"/>
        <w:jc w:val="both"/>
      </w:pPr>
      <w:bookmarkStart w:id="0" w:name="_Toc51581940"/>
      <w:r>
        <w:t>Glossary of Terms</w:t>
      </w:r>
      <w:bookmarkEnd w:id="0"/>
    </w:p>
    <w:p w14:paraId="0FF4834B" w14:textId="77777777" w:rsidR="00E22599" w:rsidRDefault="00E22599" w:rsidP="00E22599"/>
    <w:p w14:paraId="0FF4834C" w14:textId="77777777" w:rsidR="00E22599" w:rsidRDefault="00E34751" w:rsidP="00E22599">
      <w:r>
        <w:t>Please review Attachment 001 – Glossary of Terms as this will assist in the understanding of this document</w:t>
      </w:r>
    </w:p>
    <w:p w14:paraId="0FF4834D" w14:textId="77777777" w:rsidR="00E34751" w:rsidRPr="00E22599" w:rsidRDefault="00E34751" w:rsidP="00E22599"/>
    <w:p w14:paraId="0FF4834E" w14:textId="77777777" w:rsidR="00311D7F" w:rsidRPr="00FB3D07" w:rsidRDefault="00A138CC" w:rsidP="00311E73">
      <w:pPr>
        <w:pStyle w:val="Heading1"/>
        <w:jc w:val="both"/>
      </w:pPr>
      <w:bookmarkStart w:id="1" w:name="_Toc51581941"/>
      <w:r w:rsidRPr="00FB3D07">
        <w:t>Introduction</w:t>
      </w:r>
      <w:bookmarkEnd w:id="1"/>
    </w:p>
    <w:p w14:paraId="0FF4834F" w14:textId="1CF14202" w:rsidR="00E34751" w:rsidRPr="0090079F" w:rsidRDefault="00073704" w:rsidP="00311E73">
      <w:pPr>
        <w:pStyle w:val="ListParagraph"/>
        <w:numPr>
          <w:ilvl w:val="0"/>
          <w:numId w:val="26"/>
        </w:numPr>
        <w:jc w:val="both"/>
        <w:rPr>
          <w:szCs w:val="20"/>
        </w:rPr>
      </w:pPr>
      <w:r w:rsidRPr="00E34751">
        <w:rPr>
          <w:szCs w:val="20"/>
        </w:rPr>
        <w:t xml:space="preserve">This </w:t>
      </w:r>
      <w:r w:rsidR="00036935">
        <w:rPr>
          <w:szCs w:val="20"/>
        </w:rPr>
        <w:t>PQQ</w:t>
      </w:r>
      <w:r w:rsidR="0081484A" w:rsidRPr="00E34751">
        <w:rPr>
          <w:szCs w:val="20"/>
        </w:rPr>
        <w:t xml:space="preserve"> </w:t>
      </w:r>
      <w:r w:rsidRPr="00E34751">
        <w:rPr>
          <w:szCs w:val="20"/>
        </w:rPr>
        <w:t xml:space="preserve">is issued to Potential </w:t>
      </w:r>
      <w:r w:rsidR="000E1B7A" w:rsidRPr="00E34751">
        <w:rPr>
          <w:szCs w:val="20"/>
        </w:rPr>
        <w:t>Applicants</w:t>
      </w:r>
      <w:r w:rsidRPr="00E34751">
        <w:rPr>
          <w:szCs w:val="20"/>
        </w:rPr>
        <w:t xml:space="preserve"> selected by the Authority</w:t>
      </w:r>
      <w:r w:rsidR="001C656D" w:rsidRPr="00E34751">
        <w:rPr>
          <w:szCs w:val="20"/>
        </w:rPr>
        <w:t xml:space="preserve"> </w:t>
      </w:r>
      <w:r w:rsidR="00E34751" w:rsidRPr="00E34751">
        <w:rPr>
          <w:szCs w:val="20"/>
        </w:rPr>
        <w:t>in connection with a potential</w:t>
      </w:r>
      <w:r w:rsidR="000E1B7A" w:rsidRPr="00E34751">
        <w:rPr>
          <w:szCs w:val="20"/>
        </w:rPr>
        <w:t xml:space="preserve"> procurement event</w:t>
      </w:r>
      <w:r w:rsidR="0090079F">
        <w:rPr>
          <w:szCs w:val="20"/>
        </w:rPr>
        <w:t xml:space="preserve"> for the provision of a </w:t>
      </w:r>
      <w:proofErr w:type="gramStart"/>
      <w:r w:rsidR="0090079F">
        <w:rPr>
          <w:szCs w:val="20"/>
        </w:rPr>
        <w:t>back office</w:t>
      </w:r>
      <w:proofErr w:type="gramEnd"/>
      <w:r w:rsidR="0090079F">
        <w:rPr>
          <w:szCs w:val="20"/>
        </w:rPr>
        <w:t xml:space="preserve"> software for the Authority’s EV charging </w:t>
      </w:r>
      <w:r w:rsidR="0090079F" w:rsidRPr="0090079F">
        <w:rPr>
          <w:szCs w:val="20"/>
        </w:rPr>
        <w:t xml:space="preserve">infrastructure </w:t>
      </w:r>
      <w:r w:rsidR="00E34751" w:rsidRPr="0090079F">
        <w:rPr>
          <w:szCs w:val="20"/>
        </w:rPr>
        <w:t xml:space="preserve">to be </w:t>
      </w:r>
      <w:r w:rsidR="000E1B7A" w:rsidRPr="0090079F">
        <w:rPr>
          <w:szCs w:val="20"/>
        </w:rPr>
        <w:t>conducted in accordance with the Negotiated Procedure under the</w:t>
      </w:r>
      <w:r w:rsidR="00E34751" w:rsidRPr="0090079F">
        <w:rPr>
          <w:szCs w:val="20"/>
        </w:rPr>
        <w:t>;</w:t>
      </w:r>
      <w:r w:rsidR="000E1B7A" w:rsidRPr="0090079F">
        <w:rPr>
          <w:szCs w:val="20"/>
        </w:rPr>
        <w:t xml:space="preserve"> </w:t>
      </w:r>
    </w:p>
    <w:p w14:paraId="0FF48351" w14:textId="77777777" w:rsidR="00E34751" w:rsidRPr="0090079F" w:rsidRDefault="00E34751" w:rsidP="00E34751">
      <w:pPr>
        <w:pStyle w:val="ListParagraph"/>
        <w:numPr>
          <w:ilvl w:val="0"/>
          <w:numId w:val="26"/>
        </w:numPr>
        <w:jc w:val="both"/>
        <w:rPr>
          <w:szCs w:val="20"/>
        </w:rPr>
      </w:pPr>
      <w:r w:rsidRPr="0090079F">
        <w:rPr>
          <w:szCs w:val="20"/>
        </w:rPr>
        <w:t xml:space="preserve">Utilities Contracts (Scotland) Regulations 2016 (Scotland) </w:t>
      </w:r>
    </w:p>
    <w:p w14:paraId="0FF48353" w14:textId="77777777" w:rsidR="00E34751" w:rsidRDefault="00E34751" w:rsidP="00E34751">
      <w:pPr>
        <w:pStyle w:val="ListParagraph"/>
        <w:jc w:val="both"/>
        <w:rPr>
          <w:szCs w:val="20"/>
        </w:rPr>
      </w:pPr>
    </w:p>
    <w:p w14:paraId="0FF48355" w14:textId="77777777" w:rsidR="00E34751" w:rsidRPr="00E34751" w:rsidRDefault="00E34751" w:rsidP="00E34751">
      <w:pPr>
        <w:jc w:val="both"/>
        <w:rPr>
          <w:szCs w:val="20"/>
        </w:rPr>
      </w:pPr>
    </w:p>
    <w:p w14:paraId="0FF4835A" w14:textId="34B5CE6D" w:rsidR="000E1B7A" w:rsidRPr="00E34751" w:rsidRDefault="000E1B7A" w:rsidP="004347BE">
      <w:pPr>
        <w:rPr>
          <w:szCs w:val="20"/>
        </w:rPr>
      </w:pPr>
      <w:r w:rsidRPr="00E34751">
        <w:rPr>
          <w:szCs w:val="20"/>
        </w:rPr>
        <w:t xml:space="preserve">This </w:t>
      </w:r>
      <w:r w:rsidR="0090079F">
        <w:rPr>
          <w:szCs w:val="20"/>
        </w:rPr>
        <w:t>PQQ</w:t>
      </w:r>
      <w:r w:rsidRPr="00E34751">
        <w:rPr>
          <w:szCs w:val="20"/>
        </w:rPr>
        <w:t xml:space="preserve"> sets out the information which is required by the Authority in order to assess the suitability of Potential Applicants in terms of their technical knowledge and experience; capability/capacity; organisational and financial standing to meet the requirement.   </w:t>
      </w:r>
    </w:p>
    <w:p w14:paraId="0FF4835B" w14:textId="77777777" w:rsidR="000E1B7A" w:rsidRDefault="000E1B7A" w:rsidP="00311E73">
      <w:pPr>
        <w:jc w:val="both"/>
        <w:rPr>
          <w:szCs w:val="20"/>
        </w:rPr>
      </w:pPr>
    </w:p>
    <w:p w14:paraId="0FF4835C" w14:textId="7703A057" w:rsidR="000A3834" w:rsidRDefault="000A3834" w:rsidP="00311E73">
      <w:pPr>
        <w:jc w:val="both"/>
        <w:rPr>
          <w:szCs w:val="20"/>
        </w:rPr>
      </w:pPr>
      <w:r>
        <w:rPr>
          <w:szCs w:val="20"/>
        </w:rPr>
        <w:t xml:space="preserve">No information contained in this </w:t>
      </w:r>
      <w:r w:rsidR="0090079F">
        <w:rPr>
          <w:szCs w:val="20"/>
        </w:rPr>
        <w:t>PQQ</w:t>
      </w:r>
      <w:r>
        <w:rPr>
          <w:szCs w:val="20"/>
        </w:rPr>
        <w:t>, or in any communication made between the Authority and any Potential Appli</w:t>
      </w:r>
      <w:r w:rsidR="00D539DC">
        <w:rPr>
          <w:szCs w:val="20"/>
        </w:rPr>
        <w:t xml:space="preserve">cant in connection with this </w:t>
      </w:r>
      <w:r w:rsidR="0090079F">
        <w:rPr>
          <w:szCs w:val="20"/>
        </w:rPr>
        <w:t>PQQ</w:t>
      </w:r>
      <w:r>
        <w:rPr>
          <w:szCs w:val="20"/>
        </w:rPr>
        <w:t xml:space="preserve">, shall be relied upon as constituting a Contract, agreement or representation that any Contract shall be offered in accordance with this </w:t>
      </w:r>
      <w:r w:rsidR="0090079F">
        <w:rPr>
          <w:szCs w:val="20"/>
        </w:rPr>
        <w:t>PQQ</w:t>
      </w:r>
      <w:r>
        <w:rPr>
          <w:szCs w:val="20"/>
        </w:rPr>
        <w:t>.  The Authority reserves the right</w:t>
      </w:r>
      <w:r w:rsidRPr="0048261C">
        <w:rPr>
          <w:szCs w:val="20"/>
        </w:rPr>
        <w:t>, subject to the appropriate procurement regulations,</w:t>
      </w:r>
      <w:r w:rsidR="0090079F" w:rsidRPr="0048261C">
        <w:rPr>
          <w:szCs w:val="20"/>
        </w:rPr>
        <w:t xml:space="preserve"> </w:t>
      </w:r>
      <w:r w:rsidRPr="0048261C">
        <w:rPr>
          <w:szCs w:val="20"/>
        </w:rPr>
        <w:t>to</w:t>
      </w:r>
      <w:r>
        <w:rPr>
          <w:szCs w:val="20"/>
        </w:rPr>
        <w:t xml:space="preserve"> change without notice the basis of, or the procedures for, the competitive tendering process or to terminate at any time.  Under no circumstances shall the Authority incur any liability in respect of this </w:t>
      </w:r>
      <w:r w:rsidR="0090079F">
        <w:rPr>
          <w:szCs w:val="20"/>
        </w:rPr>
        <w:t>PQQ</w:t>
      </w:r>
      <w:r>
        <w:rPr>
          <w:szCs w:val="20"/>
        </w:rPr>
        <w:t xml:space="preserve"> or any supporting documentation.</w:t>
      </w:r>
    </w:p>
    <w:p w14:paraId="0FF4835D" w14:textId="77777777" w:rsidR="00207CD5" w:rsidRDefault="00207CD5" w:rsidP="00311E73">
      <w:pPr>
        <w:jc w:val="both"/>
        <w:rPr>
          <w:szCs w:val="20"/>
        </w:rPr>
      </w:pPr>
    </w:p>
    <w:p w14:paraId="0FF4835E" w14:textId="184D9920" w:rsidR="00207CD5" w:rsidRDefault="00207CD5" w:rsidP="00311E73">
      <w:pPr>
        <w:jc w:val="both"/>
        <w:rPr>
          <w:szCs w:val="20"/>
        </w:rPr>
      </w:pPr>
      <w:proofErr w:type="gramStart"/>
      <w:r>
        <w:rPr>
          <w:szCs w:val="20"/>
        </w:rPr>
        <w:t>In the event that</w:t>
      </w:r>
      <w:proofErr w:type="gramEnd"/>
      <w:r>
        <w:rPr>
          <w:szCs w:val="20"/>
        </w:rPr>
        <w:t xml:space="preserve"> none of the </w:t>
      </w:r>
      <w:r w:rsidR="0090079F">
        <w:rPr>
          <w:szCs w:val="20"/>
        </w:rPr>
        <w:t>PQQ</w:t>
      </w:r>
      <w:r>
        <w:rPr>
          <w:szCs w:val="20"/>
        </w:rPr>
        <w:t xml:space="preserve"> responses are deemed satisfactory, the Authority reserves the right to</w:t>
      </w:r>
      <w:r w:rsidR="00D539DC">
        <w:rPr>
          <w:szCs w:val="20"/>
        </w:rPr>
        <w:t xml:space="preserve"> discontinue the process</w:t>
      </w:r>
      <w:r>
        <w:rPr>
          <w:szCs w:val="20"/>
        </w:rPr>
        <w:t>.</w:t>
      </w:r>
    </w:p>
    <w:p w14:paraId="0FF4835F" w14:textId="77777777" w:rsidR="000C54A9" w:rsidRDefault="000C54A9" w:rsidP="00311E73">
      <w:pPr>
        <w:jc w:val="both"/>
        <w:rPr>
          <w:szCs w:val="20"/>
        </w:rPr>
      </w:pPr>
    </w:p>
    <w:p w14:paraId="0FF48360" w14:textId="77777777" w:rsidR="000C54A9" w:rsidRDefault="000C54A9" w:rsidP="000C54A9">
      <w:pPr>
        <w:pStyle w:val="Heading1"/>
      </w:pPr>
      <w:bookmarkStart w:id="2" w:name="_Toc51581942"/>
      <w:r>
        <w:t>Requirement</w:t>
      </w:r>
      <w:bookmarkEnd w:id="2"/>
    </w:p>
    <w:p w14:paraId="0FF48361" w14:textId="6F37AA0B" w:rsidR="000C54A9" w:rsidRPr="000C54A9" w:rsidRDefault="000C54A9" w:rsidP="000C54A9">
      <w:r>
        <w:t>The Requirement is set out in the Procurement Docum</w:t>
      </w:r>
      <w:r w:rsidR="00D539DC">
        <w:t>ents contained in Attachment 00</w:t>
      </w:r>
      <w:r w:rsidR="0016095F">
        <w:t>3</w:t>
      </w:r>
      <w:r>
        <w:t>.</w:t>
      </w:r>
    </w:p>
    <w:p w14:paraId="0FF48362" w14:textId="77777777" w:rsidR="000E1B7A" w:rsidRDefault="000E1B7A" w:rsidP="00311E73">
      <w:pPr>
        <w:jc w:val="both"/>
        <w:rPr>
          <w:szCs w:val="20"/>
        </w:rPr>
      </w:pPr>
      <w:r>
        <w:rPr>
          <w:szCs w:val="20"/>
        </w:rPr>
        <w:t xml:space="preserve"> </w:t>
      </w:r>
    </w:p>
    <w:p w14:paraId="0FF48363" w14:textId="77777777" w:rsidR="001A0E9C" w:rsidRDefault="001A0E9C" w:rsidP="00311E73">
      <w:pPr>
        <w:pStyle w:val="Heading1"/>
        <w:jc w:val="both"/>
      </w:pPr>
      <w:bookmarkStart w:id="3" w:name="_Toc51581943"/>
      <w:r>
        <w:t>Interpretation</w:t>
      </w:r>
      <w:bookmarkEnd w:id="3"/>
    </w:p>
    <w:p w14:paraId="0FF48364" w14:textId="77777777" w:rsidR="001A0E9C" w:rsidRDefault="001A0E9C" w:rsidP="00311E73">
      <w:pPr>
        <w:jc w:val="both"/>
        <w:rPr>
          <w:szCs w:val="20"/>
        </w:rPr>
      </w:pPr>
    </w:p>
    <w:p w14:paraId="0FF48365" w14:textId="1F4F9200" w:rsidR="001A0E9C" w:rsidRDefault="00311E73" w:rsidP="00311E73">
      <w:pPr>
        <w:jc w:val="both"/>
        <w:rPr>
          <w:szCs w:val="20"/>
        </w:rPr>
      </w:pPr>
      <w:r>
        <w:rPr>
          <w:szCs w:val="20"/>
        </w:rPr>
        <w:t>Any reference to</w:t>
      </w:r>
      <w:r w:rsidR="001A0E9C">
        <w:rPr>
          <w:szCs w:val="20"/>
        </w:rPr>
        <w:t xml:space="preserve"> </w:t>
      </w:r>
      <w:r>
        <w:rPr>
          <w:szCs w:val="20"/>
        </w:rPr>
        <w:t>“</w:t>
      </w:r>
      <w:r w:rsidR="0016095F">
        <w:rPr>
          <w:szCs w:val="20"/>
        </w:rPr>
        <w:t>PQQ</w:t>
      </w:r>
      <w:r>
        <w:rPr>
          <w:szCs w:val="20"/>
        </w:rPr>
        <w:t>”</w:t>
      </w:r>
      <w:r w:rsidR="001A0E9C">
        <w:rPr>
          <w:szCs w:val="20"/>
        </w:rPr>
        <w:t xml:space="preserve"> </w:t>
      </w:r>
      <w:r>
        <w:rPr>
          <w:szCs w:val="20"/>
        </w:rPr>
        <w:t xml:space="preserve">is a reference to a </w:t>
      </w:r>
      <w:r w:rsidR="000C54A9">
        <w:rPr>
          <w:szCs w:val="20"/>
        </w:rPr>
        <w:t>R</w:t>
      </w:r>
      <w:r>
        <w:rPr>
          <w:szCs w:val="20"/>
        </w:rPr>
        <w:t xml:space="preserve">equest for </w:t>
      </w:r>
      <w:r w:rsidR="000C54A9">
        <w:rPr>
          <w:szCs w:val="20"/>
        </w:rPr>
        <w:t>Information</w:t>
      </w:r>
      <w:r>
        <w:rPr>
          <w:szCs w:val="20"/>
        </w:rPr>
        <w:t xml:space="preserve"> from the Potential </w:t>
      </w:r>
      <w:r w:rsidR="000C54A9">
        <w:rPr>
          <w:szCs w:val="20"/>
        </w:rPr>
        <w:t>Applicants</w:t>
      </w:r>
      <w:r>
        <w:rPr>
          <w:szCs w:val="20"/>
        </w:rPr>
        <w:t xml:space="preserve"> and i</w:t>
      </w:r>
      <w:r w:rsidR="001A0E9C">
        <w:rPr>
          <w:szCs w:val="20"/>
        </w:rPr>
        <w:t xml:space="preserve">ncludes these Instructions to </w:t>
      </w:r>
      <w:r w:rsidR="000C54A9">
        <w:rPr>
          <w:szCs w:val="20"/>
        </w:rPr>
        <w:t xml:space="preserve">Applicants </w:t>
      </w:r>
      <w:r w:rsidR="001A0E9C">
        <w:rPr>
          <w:szCs w:val="20"/>
        </w:rPr>
        <w:t>and all Attachments to this event found in the e-tendering tool</w:t>
      </w:r>
      <w:r w:rsidR="000C54A9">
        <w:rPr>
          <w:szCs w:val="20"/>
        </w:rPr>
        <w:t>.</w:t>
      </w:r>
    </w:p>
    <w:p w14:paraId="0FF48366" w14:textId="77777777" w:rsidR="001A0E9C" w:rsidRDefault="001A0E9C" w:rsidP="00311E73">
      <w:pPr>
        <w:jc w:val="both"/>
        <w:rPr>
          <w:szCs w:val="20"/>
        </w:rPr>
      </w:pPr>
    </w:p>
    <w:p w14:paraId="0FF48367" w14:textId="77777777" w:rsidR="001A0E9C" w:rsidRDefault="001C656D" w:rsidP="00311E73">
      <w:pPr>
        <w:jc w:val="both"/>
        <w:rPr>
          <w:szCs w:val="20"/>
        </w:rPr>
      </w:pPr>
      <w:r>
        <w:rPr>
          <w:szCs w:val="20"/>
        </w:rPr>
        <w:t xml:space="preserve">Any reference to “we”, “us” or “our” is deemed to be a reference to the Authority. </w:t>
      </w:r>
      <w:r w:rsidR="001A0E9C">
        <w:rPr>
          <w:szCs w:val="20"/>
        </w:rPr>
        <w:t xml:space="preserve"> </w:t>
      </w:r>
    </w:p>
    <w:p w14:paraId="0FF48368" w14:textId="77777777" w:rsidR="00F2420C" w:rsidRDefault="00F2420C" w:rsidP="00311E73">
      <w:pPr>
        <w:jc w:val="both"/>
        <w:rPr>
          <w:szCs w:val="20"/>
        </w:rPr>
      </w:pPr>
    </w:p>
    <w:p w14:paraId="0FF48369" w14:textId="77777777" w:rsidR="00F2420C" w:rsidRPr="001A0E9C" w:rsidRDefault="00F2420C" w:rsidP="00311E73">
      <w:pPr>
        <w:jc w:val="both"/>
        <w:rPr>
          <w:szCs w:val="20"/>
        </w:rPr>
      </w:pPr>
      <w:r>
        <w:rPr>
          <w:szCs w:val="20"/>
        </w:rPr>
        <w:t xml:space="preserve">Any reference to </w:t>
      </w:r>
      <w:r w:rsidR="003A1A6D">
        <w:rPr>
          <w:szCs w:val="20"/>
        </w:rPr>
        <w:t>“person” includes but is not limited to any person, company, body or association.</w:t>
      </w:r>
    </w:p>
    <w:p w14:paraId="0FF4836A" w14:textId="77777777" w:rsidR="00A138CC" w:rsidRDefault="00A138CC" w:rsidP="00311E73">
      <w:pPr>
        <w:jc w:val="both"/>
        <w:rPr>
          <w:szCs w:val="20"/>
        </w:rPr>
      </w:pPr>
    </w:p>
    <w:p w14:paraId="0FF4836B" w14:textId="2A0F3EAE" w:rsidR="00311D7F" w:rsidRPr="00FB3D07" w:rsidRDefault="0016095F" w:rsidP="00311E73">
      <w:pPr>
        <w:pStyle w:val="Heading1"/>
        <w:jc w:val="both"/>
      </w:pPr>
      <w:bookmarkStart w:id="4" w:name="_Toc51581944"/>
      <w:r>
        <w:t>PQQ</w:t>
      </w:r>
      <w:r w:rsidR="00311D7F" w:rsidRPr="00FB3D07">
        <w:t xml:space="preserve"> Documents</w:t>
      </w:r>
      <w:bookmarkEnd w:id="4"/>
    </w:p>
    <w:p w14:paraId="56969218" w14:textId="696F803A" w:rsidR="00524E04" w:rsidRDefault="00225512" w:rsidP="002A29B6">
      <w:pPr>
        <w:jc w:val="both"/>
        <w:rPr>
          <w:rFonts w:cstheme="minorHAnsi"/>
          <w:szCs w:val="20"/>
        </w:rPr>
      </w:pPr>
      <w:r w:rsidRPr="003D53BD">
        <w:rPr>
          <w:rFonts w:cstheme="minorHAnsi"/>
          <w:szCs w:val="20"/>
        </w:rPr>
        <w:t>The Authority is using an e-tendering solution (Emptoris)</w:t>
      </w:r>
      <w:r w:rsidR="00524E04">
        <w:rPr>
          <w:rFonts w:cstheme="minorHAnsi"/>
          <w:szCs w:val="20"/>
        </w:rPr>
        <w:t>:</w:t>
      </w:r>
      <w:r w:rsidR="00524E04">
        <w:rPr>
          <w:rFonts w:cstheme="minorHAnsi"/>
          <w:szCs w:val="20"/>
        </w:rPr>
        <w:tab/>
      </w:r>
    </w:p>
    <w:p w14:paraId="6B892B5E" w14:textId="16E126B4" w:rsidR="00225512" w:rsidRDefault="00225512" w:rsidP="002A29B6">
      <w:pPr>
        <w:jc w:val="both"/>
        <w:rPr>
          <w:szCs w:val="20"/>
        </w:rPr>
      </w:pPr>
      <w:r w:rsidRPr="003D53BD">
        <w:rPr>
          <w:rFonts w:cstheme="minorHAnsi"/>
          <w:szCs w:val="20"/>
        </w:rPr>
        <w:t xml:space="preserve"> </w:t>
      </w:r>
      <w:r w:rsidRPr="00E92B57">
        <w:rPr>
          <w:rFonts w:cstheme="minorHAnsi"/>
          <w:szCs w:val="20"/>
        </w:rPr>
        <w:t>(</w:t>
      </w:r>
      <w:hyperlink r:id="rId17" w:anchor="/login/loginPage" w:history="1">
        <w:r w:rsidRPr="002706D7">
          <w:rPr>
            <w:rStyle w:val="Hyperlink"/>
            <w:rFonts w:asciiTheme="minorHAnsi" w:hAnsiTheme="minorHAnsi" w:cstheme="minorHAnsi"/>
            <w:szCs w:val="20"/>
          </w:rPr>
          <w:t>https://sse-sgn.emptoris.com/emptoris/sso_login.jsp#/login/loginPage</w:t>
        </w:r>
      </w:hyperlink>
      <w:r w:rsidRPr="003D53BD">
        <w:rPr>
          <w:rFonts w:cstheme="minorHAnsi"/>
        </w:rPr>
        <w:t xml:space="preserve">) </w:t>
      </w:r>
      <w:r w:rsidRPr="003D53BD">
        <w:rPr>
          <w:rFonts w:cstheme="minorHAnsi"/>
          <w:szCs w:val="20"/>
        </w:rPr>
        <w:t>to manage this tender process with Potential Providers</w:t>
      </w:r>
      <w:r>
        <w:rPr>
          <w:rFonts w:cstheme="minorHAnsi"/>
          <w:szCs w:val="20"/>
        </w:rPr>
        <w:t>.</w:t>
      </w:r>
      <w:r>
        <w:rPr>
          <w:rFonts w:cstheme="minorHAnsi"/>
          <w:szCs w:val="20"/>
        </w:rPr>
        <w:tab/>
      </w:r>
    </w:p>
    <w:p w14:paraId="2D098919" w14:textId="57646E7B" w:rsidR="004337F4" w:rsidRDefault="004337F4" w:rsidP="002A29B6">
      <w:pPr>
        <w:jc w:val="both"/>
        <w:rPr>
          <w:szCs w:val="20"/>
        </w:rPr>
      </w:pPr>
      <w:r w:rsidRPr="004337F4">
        <w:rPr>
          <w:szCs w:val="20"/>
        </w:rPr>
        <w:t xml:space="preserve">The Authority is notifying </w:t>
      </w:r>
      <w:r w:rsidR="00434E4A">
        <w:rPr>
          <w:szCs w:val="20"/>
        </w:rPr>
        <w:t xml:space="preserve">Potential </w:t>
      </w:r>
      <w:r w:rsidR="002C1A03">
        <w:rPr>
          <w:szCs w:val="20"/>
        </w:rPr>
        <w:t>Applicants</w:t>
      </w:r>
      <w:r w:rsidRPr="004337F4">
        <w:rPr>
          <w:szCs w:val="20"/>
        </w:rPr>
        <w:t xml:space="preserve"> of the PQQ for the Procurement via a Contract Notice – Utilities under Directive 2014/25/EU. No hard copy documents will be issued by the Authority.  All documentation pertaining to this PQQ can be </w:t>
      </w:r>
      <w:r w:rsidRPr="00434E4A">
        <w:rPr>
          <w:szCs w:val="20"/>
        </w:rPr>
        <w:t xml:space="preserve">accessed via </w:t>
      </w:r>
      <w:r w:rsidR="00434E4A" w:rsidRPr="00434E4A">
        <w:rPr>
          <w:szCs w:val="20"/>
        </w:rPr>
        <w:t>Emptoris</w:t>
      </w:r>
      <w:r w:rsidR="00434E4A">
        <w:rPr>
          <w:szCs w:val="20"/>
        </w:rPr>
        <w:t xml:space="preserve"> sourcing event. </w:t>
      </w:r>
    </w:p>
    <w:p w14:paraId="7FFC6B5B" w14:textId="77777777" w:rsidR="004337F4" w:rsidRDefault="004337F4" w:rsidP="004337F4">
      <w:pPr>
        <w:jc w:val="both"/>
        <w:rPr>
          <w:szCs w:val="20"/>
        </w:rPr>
      </w:pPr>
    </w:p>
    <w:p w14:paraId="41CC3588" w14:textId="61DD4066" w:rsidR="004337F4" w:rsidRPr="004337F4" w:rsidRDefault="004337F4" w:rsidP="004337F4">
      <w:pPr>
        <w:jc w:val="both"/>
        <w:rPr>
          <w:szCs w:val="20"/>
        </w:rPr>
      </w:pPr>
      <w:r w:rsidRPr="004337F4">
        <w:rPr>
          <w:szCs w:val="20"/>
        </w:rPr>
        <w:t xml:space="preserve"> The structure of the PQQ suite of attachments is as follows: </w:t>
      </w:r>
    </w:p>
    <w:p w14:paraId="522E6E02" w14:textId="77777777" w:rsidR="004337F4" w:rsidRPr="004337F4" w:rsidRDefault="004337F4" w:rsidP="004337F4">
      <w:pPr>
        <w:jc w:val="both"/>
        <w:rPr>
          <w:szCs w:val="20"/>
        </w:rPr>
      </w:pPr>
      <w:r w:rsidRPr="004337F4">
        <w:rPr>
          <w:szCs w:val="20"/>
        </w:rPr>
        <w:t xml:space="preserve"> </w:t>
      </w:r>
    </w:p>
    <w:p w14:paraId="16F10166" w14:textId="77777777" w:rsidR="004337F4" w:rsidRDefault="004337F4" w:rsidP="004337F4">
      <w:pPr>
        <w:jc w:val="both"/>
        <w:rPr>
          <w:szCs w:val="20"/>
        </w:rPr>
      </w:pPr>
      <w:r w:rsidRPr="004337F4">
        <w:rPr>
          <w:szCs w:val="20"/>
        </w:rPr>
        <w:t xml:space="preserve">• Instructions to Potential Supplier </w:t>
      </w:r>
    </w:p>
    <w:p w14:paraId="4B90A93E" w14:textId="77777777" w:rsidR="004337F4" w:rsidRDefault="004337F4" w:rsidP="004337F4">
      <w:pPr>
        <w:jc w:val="both"/>
        <w:rPr>
          <w:szCs w:val="20"/>
        </w:rPr>
      </w:pPr>
      <w:r w:rsidRPr="004337F4">
        <w:rPr>
          <w:szCs w:val="20"/>
        </w:rPr>
        <w:t xml:space="preserve">• Attachment 001 – Glossary of Terms </w:t>
      </w:r>
    </w:p>
    <w:p w14:paraId="7395696E" w14:textId="77777777" w:rsidR="004337F4" w:rsidRDefault="004337F4" w:rsidP="004337F4">
      <w:pPr>
        <w:jc w:val="both"/>
        <w:rPr>
          <w:szCs w:val="20"/>
        </w:rPr>
      </w:pPr>
      <w:r w:rsidRPr="004337F4">
        <w:rPr>
          <w:szCs w:val="20"/>
        </w:rPr>
        <w:t>• Attachment 002 – Pre-Qualification Questionnaire and Evaluation Criteria</w:t>
      </w:r>
    </w:p>
    <w:p w14:paraId="37E95DE7" w14:textId="77777777" w:rsidR="004337F4" w:rsidRDefault="004337F4" w:rsidP="004337F4">
      <w:pPr>
        <w:jc w:val="both"/>
        <w:rPr>
          <w:szCs w:val="20"/>
        </w:rPr>
      </w:pPr>
      <w:r w:rsidRPr="004337F4">
        <w:rPr>
          <w:szCs w:val="20"/>
        </w:rPr>
        <w:lastRenderedPageBreak/>
        <w:t xml:space="preserve"> • Attachment 003 - Procurement Documents </w:t>
      </w:r>
    </w:p>
    <w:p w14:paraId="1A933D0A" w14:textId="77777777" w:rsidR="004337F4" w:rsidRDefault="004337F4" w:rsidP="004337F4">
      <w:pPr>
        <w:jc w:val="both"/>
        <w:rPr>
          <w:szCs w:val="20"/>
        </w:rPr>
      </w:pPr>
      <w:r w:rsidRPr="004337F4">
        <w:rPr>
          <w:szCs w:val="20"/>
        </w:rPr>
        <w:t>• Attachment 004 – The Authority’s Contract Principles</w:t>
      </w:r>
    </w:p>
    <w:p w14:paraId="5A3F2721" w14:textId="3A698060" w:rsidR="004337F4" w:rsidRDefault="004337F4" w:rsidP="004337F4">
      <w:pPr>
        <w:jc w:val="both"/>
        <w:rPr>
          <w:szCs w:val="20"/>
        </w:rPr>
      </w:pPr>
      <w:r w:rsidRPr="004337F4">
        <w:rPr>
          <w:szCs w:val="20"/>
        </w:rPr>
        <w:t xml:space="preserve"> • Attachment 005 – The Authority’s Responsible Procurement Charter </w:t>
      </w:r>
    </w:p>
    <w:p w14:paraId="3FDA43B0" w14:textId="21601A14" w:rsidR="004337F4" w:rsidRDefault="004337F4" w:rsidP="004337F4">
      <w:pPr>
        <w:jc w:val="both"/>
        <w:rPr>
          <w:szCs w:val="20"/>
        </w:rPr>
      </w:pPr>
      <w:r w:rsidRPr="004337F4">
        <w:rPr>
          <w:szCs w:val="20"/>
        </w:rPr>
        <w:t>• Attachment 00</w:t>
      </w:r>
      <w:r>
        <w:rPr>
          <w:szCs w:val="20"/>
        </w:rPr>
        <w:t>6</w:t>
      </w:r>
      <w:r w:rsidRPr="004337F4">
        <w:rPr>
          <w:szCs w:val="20"/>
        </w:rPr>
        <w:t xml:space="preserve"> – The Authority’s</w:t>
      </w:r>
      <w:r>
        <w:rPr>
          <w:szCs w:val="20"/>
        </w:rPr>
        <w:t xml:space="preserve"> SHE Specification</w:t>
      </w:r>
      <w:r w:rsidRPr="004337F4">
        <w:rPr>
          <w:szCs w:val="20"/>
        </w:rPr>
        <w:t xml:space="preserve"> </w:t>
      </w:r>
    </w:p>
    <w:p w14:paraId="3B0B64DC" w14:textId="3ABB447C" w:rsidR="005308B5" w:rsidRDefault="005308B5" w:rsidP="005308B5">
      <w:pPr>
        <w:jc w:val="both"/>
        <w:rPr>
          <w:szCs w:val="20"/>
        </w:rPr>
      </w:pPr>
      <w:r w:rsidRPr="004337F4">
        <w:rPr>
          <w:szCs w:val="20"/>
        </w:rPr>
        <w:t>• Attachment 00</w:t>
      </w:r>
      <w:r>
        <w:rPr>
          <w:szCs w:val="20"/>
        </w:rPr>
        <w:t>7</w:t>
      </w:r>
      <w:r w:rsidRPr="004337F4">
        <w:rPr>
          <w:szCs w:val="20"/>
        </w:rPr>
        <w:t xml:space="preserve"> – </w:t>
      </w:r>
      <w:r>
        <w:rPr>
          <w:szCs w:val="20"/>
        </w:rPr>
        <w:t>Emptoris Guidance</w:t>
      </w:r>
      <w:r w:rsidRPr="004337F4">
        <w:rPr>
          <w:szCs w:val="20"/>
        </w:rPr>
        <w:t xml:space="preserve"> </w:t>
      </w:r>
    </w:p>
    <w:p w14:paraId="120FF975" w14:textId="77777777" w:rsidR="00517EC0" w:rsidRPr="004337F4" w:rsidRDefault="00517EC0" w:rsidP="004337F4">
      <w:pPr>
        <w:jc w:val="both"/>
        <w:rPr>
          <w:szCs w:val="20"/>
        </w:rPr>
      </w:pPr>
    </w:p>
    <w:p w14:paraId="7C6EC075" w14:textId="77777777" w:rsidR="004337F4" w:rsidRPr="004337F4" w:rsidRDefault="004337F4" w:rsidP="004337F4">
      <w:pPr>
        <w:jc w:val="both"/>
        <w:rPr>
          <w:szCs w:val="20"/>
        </w:rPr>
      </w:pPr>
    </w:p>
    <w:p w14:paraId="0FF48375" w14:textId="77777777" w:rsidR="001C4223" w:rsidRDefault="001C4223" w:rsidP="00311E73">
      <w:pPr>
        <w:jc w:val="both"/>
        <w:rPr>
          <w:szCs w:val="20"/>
        </w:rPr>
      </w:pPr>
    </w:p>
    <w:p w14:paraId="3302D7DF" w14:textId="23AF601D" w:rsidR="005D566A" w:rsidRDefault="005D0FF0" w:rsidP="00311E73">
      <w:pPr>
        <w:jc w:val="both"/>
        <w:rPr>
          <w:szCs w:val="20"/>
        </w:rPr>
      </w:pPr>
      <w:r>
        <w:rPr>
          <w:szCs w:val="20"/>
        </w:rPr>
        <w:t xml:space="preserve">Potential </w:t>
      </w:r>
      <w:r w:rsidR="00686F2D">
        <w:rPr>
          <w:szCs w:val="20"/>
        </w:rPr>
        <w:t>Applicants</w:t>
      </w:r>
      <w:r>
        <w:rPr>
          <w:szCs w:val="20"/>
        </w:rPr>
        <w:t xml:space="preserve"> </w:t>
      </w:r>
      <w:r w:rsidR="001C4223">
        <w:rPr>
          <w:szCs w:val="20"/>
        </w:rPr>
        <w:t>must check that they can access</w:t>
      </w:r>
      <w:r w:rsidR="00CA0648">
        <w:rPr>
          <w:szCs w:val="20"/>
        </w:rPr>
        <w:t xml:space="preserve"> </w:t>
      </w:r>
      <w:proofErr w:type="gramStart"/>
      <w:r w:rsidR="005C27D1">
        <w:rPr>
          <w:szCs w:val="20"/>
        </w:rPr>
        <w:t>all of</w:t>
      </w:r>
      <w:proofErr w:type="gramEnd"/>
      <w:r w:rsidR="005C27D1">
        <w:rPr>
          <w:szCs w:val="20"/>
        </w:rPr>
        <w:t xml:space="preserve"> the Attachments listed above within Emptoris</w:t>
      </w:r>
      <w:r w:rsidR="007409AF">
        <w:rPr>
          <w:szCs w:val="20"/>
        </w:rPr>
        <w:t xml:space="preserve"> </w:t>
      </w:r>
      <w:r w:rsidR="001C4223">
        <w:rPr>
          <w:szCs w:val="20"/>
        </w:rPr>
        <w:t>and that the</w:t>
      </w:r>
      <w:r w:rsidR="00CA0648">
        <w:rPr>
          <w:szCs w:val="20"/>
        </w:rPr>
        <w:t xml:space="preserve"> </w:t>
      </w:r>
      <w:r w:rsidR="00CA0648" w:rsidRPr="004337F4">
        <w:rPr>
          <w:szCs w:val="20"/>
        </w:rPr>
        <w:t>Attachment 002 – Pre-Qualification Questionnaire</w:t>
      </w:r>
      <w:r w:rsidR="00CA0648">
        <w:rPr>
          <w:szCs w:val="20"/>
        </w:rPr>
        <w:t xml:space="preserve"> is</w:t>
      </w:r>
      <w:r w:rsidR="001C4223">
        <w:rPr>
          <w:szCs w:val="20"/>
        </w:rPr>
        <w:t xml:space="preserve"> </w:t>
      </w:r>
      <w:r w:rsidR="001C4223" w:rsidRPr="00D41E50">
        <w:rPr>
          <w:szCs w:val="20"/>
        </w:rPr>
        <w:t>complete in all respects.</w:t>
      </w:r>
      <w:r w:rsidR="00D1498E">
        <w:rPr>
          <w:szCs w:val="20"/>
        </w:rPr>
        <w:t xml:space="preserve">  Any errors, inaccuracies or omissions in the </w:t>
      </w:r>
      <w:r w:rsidR="00CA0648">
        <w:rPr>
          <w:szCs w:val="20"/>
        </w:rPr>
        <w:t>PQQ</w:t>
      </w:r>
      <w:r w:rsidR="00D1498E">
        <w:rPr>
          <w:szCs w:val="20"/>
        </w:rPr>
        <w:t xml:space="preserve"> should be advised by the Potential </w:t>
      </w:r>
      <w:r w:rsidR="00686F2D">
        <w:rPr>
          <w:szCs w:val="20"/>
        </w:rPr>
        <w:t>Applicant</w:t>
      </w:r>
      <w:r w:rsidR="00D1498E">
        <w:rPr>
          <w:szCs w:val="20"/>
        </w:rPr>
        <w:t xml:space="preserve"> to the Authority and the Authority accepts no liability for such errors, omissions or inaccuracies.  </w:t>
      </w:r>
      <w:r w:rsidR="00763596">
        <w:rPr>
          <w:szCs w:val="20"/>
        </w:rPr>
        <w:t xml:space="preserve">Potential Applicants should be aware that erroneous or incorrect responses may result in their removal from the list of Potential </w:t>
      </w:r>
      <w:r w:rsidR="00D539DC">
        <w:rPr>
          <w:szCs w:val="20"/>
        </w:rPr>
        <w:t xml:space="preserve">Applicants or Potential </w:t>
      </w:r>
      <w:r w:rsidR="00763596">
        <w:rPr>
          <w:szCs w:val="20"/>
        </w:rPr>
        <w:t xml:space="preserve">Providers.  </w:t>
      </w:r>
    </w:p>
    <w:p w14:paraId="63F96EAE" w14:textId="77777777" w:rsidR="005D566A" w:rsidRDefault="005D566A" w:rsidP="00311E73">
      <w:pPr>
        <w:jc w:val="both"/>
        <w:rPr>
          <w:szCs w:val="20"/>
        </w:rPr>
      </w:pPr>
    </w:p>
    <w:p w14:paraId="0FF48376" w14:textId="0F2044BB" w:rsidR="001C4223" w:rsidRPr="00D41E50" w:rsidRDefault="00763596" w:rsidP="00311E73">
      <w:pPr>
        <w:jc w:val="both"/>
        <w:rPr>
          <w:szCs w:val="20"/>
        </w:rPr>
      </w:pPr>
      <w:proofErr w:type="gramStart"/>
      <w:r>
        <w:rPr>
          <w:szCs w:val="20"/>
        </w:rPr>
        <w:t>In the event that</w:t>
      </w:r>
      <w:proofErr w:type="gramEnd"/>
      <w:r>
        <w:rPr>
          <w:szCs w:val="20"/>
        </w:rPr>
        <w:t xml:space="preserve"> this is only discovered once the Invitation to Tender has been issued, the Potential Provider may be disqualified from participating further in the Invitation to Tender.</w:t>
      </w:r>
      <w:r w:rsidR="00D539DC">
        <w:rPr>
          <w:szCs w:val="20"/>
        </w:rPr>
        <w:t xml:space="preserve">  In the case where the error or</w:t>
      </w:r>
      <w:r>
        <w:rPr>
          <w:szCs w:val="20"/>
        </w:rPr>
        <w:t xml:space="preserve"> misrepresentation is not discovered until after the </w:t>
      </w:r>
      <w:r w:rsidRPr="00D539DC">
        <w:rPr>
          <w:szCs w:val="20"/>
        </w:rPr>
        <w:t>Contract is awarded, the Authority reserves the right to terminate the Contract</w:t>
      </w:r>
      <w:r w:rsidR="00D539DC">
        <w:rPr>
          <w:szCs w:val="20"/>
        </w:rPr>
        <w:t xml:space="preserve"> </w:t>
      </w:r>
      <w:r w:rsidRPr="00D539DC">
        <w:rPr>
          <w:szCs w:val="20"/>
        </w:rPr>
        <w:t>and all costs incurred by the Authority as a result of the termination shall be recoverable from the Supplier under the Contract.</w:t>
      </w:r>
    </w:p>
    <w:p w14:paraId="0FF48377" w14:textId="77777777" w:rsidR="001C4223" w:rsidRPr="00D41E50" w:rsidRDefault="001C4223" w:rsidP="00311E73">
      <w:pPr>
        <w:jc w:val="both"/>
        <w:rPr>
          <w:szCs w:val="20"/>
        </w:rPr>
      </w:pPr>
    </w:p>
    <w:p w14:paraId="0FF48378" w14:textId="791967D5" w:rsidR="001C4223" w:rsidRDefault="00D86731" w:rsidP="00311E73">
      <w:pPr>
        <w:jc w:val="both"/>
        <w:rPr>
          <w:szCs w:val="20"/>
        </w:rPr>
      </w:pPr>
      <w:r>
        <w:rPr>
          <w:szCs w:val="20"/>
        </w:rPr>
        <w:t xml:space="preserve">The Authority </w:t>
      </w:r>
      <w:r w:rsidR="001C4223" w:rsidRPr="00F27A52">
        <w:rPr>
          <w:szCs w:val="20"/>
        </w:rPr>
        <w:t>reserve</w:t>
      </w:r>
      <w:r>
        <w:rPr>
          <w:szCs w:val="20"/>
        </w:rPr>
        <w:t>s</w:t>
      </w:r>
      <w:r w:rsidR="001C4223" w:rsidRPr="00F27A52">
        <w:rPr>
          <w:szCs w:val="20"/>
        </w:rPr>
        <w:t xml:space="preserve"> the right to issue amendments to the </w:t>
      </w:r>
      <w:r w:rsidR="005D566A">
        <w:rPr>
          <w:szCs w:val="20"/>
        </w:rPr>
        <w:t>PQQ</w:t>
      </w:r>
      <w:r w:rsidR="001C4223" w:rsidRPr="00F27A52">
        <w:rPr>
          <w:szCs w:val="20"/>
        </w:rPr>
        <w:t xml:space="preserve"> at </w:t>
      </w:r>
      <w:r>
        <w:rPr>
          <w:szCs w:val="20"/>
        </w:rPr>
        <w:t>any time after issue</w:t>
      </w:r>
      <w:r w:rsidR="001C4223" w:rsidRPr="000004C3">
        <w:rPr>
          <w:szCs w:val="20"/>
        </w:rPr>
        <w:t xml:space="preserve"> until six working days prior to the </w:t>
      </w:r>
      <w:r w:rsidR="00686F2D">
        <w:rPr>
          <w:szCs w:val="20"/>
        </w:rPr>
        <w:t xml:space="preserve">closing </w:t>
      </w:r>
      <w:r w:rsidR="001C4223" w:rsidRPr="000004C3">
        <w:rPr>
          <w:szCs w:val="20"/>
        </w:rPr>
        <w:t>date and t</w:t>
      </w:r>
      <w:r>
        <w:rPr>
          <w:szCs w:val="20"/>
        </w:rPr>
        <w:t>ime</w:t>
      </w:r>
      <w:r w:rsidR="001C4223" w:rsidRPr="00A6346A">
        <w:rPr>
          <w:szCs w:val="20"/>
        </w:rPr>
        <w:t>.</w:t>
      </w:r>
      <w:r w:rsidR="001C4223" w:rsidRPr="0028283F">
        <w:rPr>
          <w:szCs w:val="20"/>
        </w:rPr>
        <w:t xml:space="preserve">  Any such amendments </w:t>
      </w:r>
      <w:r>
        <w:rPr>
          <w:szCs w:val="20"/>
        </w:rPr>
        <w:t xml:space="preserve">will be placed </w:t>
      </w:r>
      <w:r w:rsidR="00E92BA0">
        <w:rPr>
          <w:szCs w:val="20"/>
        </w:rPr>
        <w:t>as additional</w:t>
      </w:r>
      <w:r>
        <w:rPr>
          <w:szCs w:val="20"/>
        </w:rPr>
        <w:t xml:space="preserve"> </w:t>
      </w:r>
      <w:r w:rsidR="001C4223" w:rsidRPr="00491BF0">
        <w:rPr>
          <w:szCs w:val="20"/>
        </w:rPr>
        <w:t xml:space="preserve">Attachments </w:t>
      </w:r>
      <w:r w:rsidR="00E92BA0" w:rsidRPr="00491BF0">
        <w:rPr>
          <w:szCs w:val="20"/>
        </w:rPr>
        <w:t xml:space="preserve">to the </w:t>
      </w:r>
      <w:r w:rsidR="00491BF0">
        <w:rPr>
          <w:szCs w:val="20"/>
        </w:rPr>
        <w:t>sourcing event in Emptoris</w:t>
      </w:r>
      <w:r w:rsidR="001C4223">
        <w:rPr>
          <w:szCs w:val="20"/>
        </w:rPr>
        <w:t>.</w:t>
      </w:r>
      <w:r w:rsidR="00D539DC">
        <w:rPr>
          <w:szCs w:val="20"/>
        </w:rPr>
        <w:t xml:space="preserve"> </w:t>
      </w:r>
      <w:r w:rsidR="001C4223" w:rsidRPr="00F27A52">
        <w:rPr>
          <w:szCs w:val="20"/>
        </w:rPr>
        <w:t xml:space="preserve"> </w:t>
      </w:r>
      <w:r w:rsidR="001C4223">
        <w:rPr>
          <w:szCs w:val="20"/>
        </w:rPr>
        <w:t>You are advised to check the Attachments folder on a regular basis as you may not be notified of individual updates.</w:t>
      </w:r>
    </w:p>
    <w:p w14:paraId="0FF48379" w14:textId="77777777" w:rsidR="00636A39" w:rsidRDefault="00636A39" w:rsidP="00311E73">
      <w:pPr>
        <w:jc w:val="both"/>
        <w:rPr>
          <w:szCs w:val="20"/>
        </w:rPr>
      </w:pPr>
    </w:p>
    <w:p w14:paraId="0FF4837A" w14:textId="7D3079F0" w:rsidR="00636A39" w:rsidRDefault="00636A39" w:rsidP="00311E73">
      <w:pPr>
        <w:jc w:val="both"/>
        <w:rPr>
          <w:szCs w:val="20"/>
        </w:rPr>
      </w:pPr>
      <w:r>
        <w:rPr>
          <w:szCs w:val="20"/>
        </w:rPr>
        <w:t xml:space="preserve">The Authority reserves the right to require a Potential Applicant to provide additional information supplementing or clarifying any of the information provided in response to the questions set out in the </w:t>
      </w:r>
      <w:r w:rsidR="00E92BA0">
        <w:rPr>
          <w:szCs w:val="20"/>
        </w:rPr>
        <w:t>PQQ</w:t>
      </w:r>
      <w:r>
        <w:rPr>
          <w:szCs w:val="20"/>
        </w:rPr>
        <w:t>.  The Authority may seek independent financial and market advice to validate information declared, or to assist in the evaluation.</w:t>
      </w:r>
    </w:p>
    <w:p w14:paraId="0FF4837B" w14:textId="77777777" w:rsidR="001C4223" w:rsidRDefault="001C4223" w:rsidP="00311E73">
      <w:pPr>
        <w:jc w:val="both"/>
        <w:rPr>
          <w:szCs w:val="20"/>
        </w:rPr>
      </w:pPr>
    </w:p>
    <w:p w14:paraId="676A0953" w14:textId="5D04AE5A" w:rsidR="00EA6D2A" w:rsidRDefault="00EA6D2A" w:rsidP="00311E73">
      <w:pPr>
        <w:pStyle w:val="Heading1"/>
        <w:jc w:val="both"/>
      </w:pPr>
      <w:bookmarkStart w:id="5" w:name="_Toc51581945"/>
      <w:r>
        <w:t>PQQ Instructions for Completion and Evaluation Criteria</w:t>
      </w:r>
      <w:bookmarkEnd w:id="5"/>
    </w:p>
    <w:p w14:paraId="17A1AC4F" w14:textId="305BFE9C" w:rsidR="00EA6D2A" w:rsidRDefault="00EA6D2A" w:rsidP="00EA6D2A"/>
    <w:p w14:paraId="56F09EAF" w14:textId="77777777" w:rsidR="00EA6D2A" w:rsidRDefault="00EA6D2A" w:rsidP="00EA6D2A">
      <w:r>
        <w:t xml:space="preserve">Potential Suppliers are invited to complete Attachment 002 – Pre-qualification Questionnaire and Evaluation Criteria and provide requested Attachments which will make up the Potential Supplier’s PQQ Response. </w:t>
      </w:r>
    </w:p>
    <w:p w14:paraId="6804804E" w14:textId="77777777" w:rsidR="00EA6D2A" w:rsidRDefault="00EA6D2A" w:rsidP="00EA6D2A">
      <w:r>
        <w:t xml:space="preserve"> </w:t>
      </w:r>
    </w:p>
    <w:p w14:paraId="0FBB1D49" w14:textId="77777777" w:rsidR="00EA6D2A" w:rsidRDefault="00EA6D2A" w:rsidP="00EA6D2A">
      <w:r>
        <w:t xml:space="preserve">All answers are to be completed in the columns titled Supplier Response using the drop-down list of “Yes” and “No” and an Attachment must be provided containing the answer to the question where requested. </w:t>
      </w:r>
    </w:p>
    <w:p w14:paraId="185F310B" w14:textId="77777777" w:rsidR="00EA6D2A" w:rsidRDefault="00EA6D2A" w:rsidP="00EA6D2A">
      <w:r>
        <w:t xml:space="preserve"> </w:t>
      </w:r>
    </w:p>
    <w:p w14:paraId="16E93D54" w14:textId="77777777" w:rsidR="00EA6D2A" w:rsidRDefault="00EA6D2A" w:rsidP="00EA6D2A">
      <w:r>
        <w:t xml:space="preserve">Pre-qualification questions will consist of Pre-requisite questions which will require a mandatory answer of “Yes” using the columns titled Supplier Response and the drop-down list provided. Only Potential Suppliers who have answered “Yes” to the Pre-requisite questions will be invited to complete the Solution Capability and Experience questions of which will be scored in accordance with the scoring criteria provided within “Attachment 002 – Pre-qualification Questionnaire and Evaluation Criteria”  </w:t>
      </w:r>
    </w:p>
    <w:p w14:paraId="0CE27A30" w14:textId="77777777" w:rsidR="00EA6D2A" w:rsidRDefault="00EA6D2A" w:rsidP="00EA6D2A">
      <w:r>
        <w:t xml:space="preserve"> </w:t>
      </w:r>
    </w:p>
    <w:p w14:paraId="67763F87" w14:textId="627908CF" w:rsidR="00EA6D2A" w:rsidRDefault="00EA6D2A" w:rsidP="00EA6D2A">
      <w:r>
        <w:t xml:space="preserve">The Authority is permitting that Potential Suppliers self-certify that a response of “Yes” is correct and supporting evidence for the Pre-requisite criteria </w:t>
      </w:r>
      <w:proofErr w:type="gramStart"/>
      <w:r w:rsidR="00F55CDF">
        <w:t xml:space="preserve">may </w:t>
      </w:r>
      <w:r>
        <w:t xml:space="preserve"> not</w:t>
      </w:r>
      <w:proofErr w:type="gramEnd"/>
      <w:r w:rsidR="00F55CDF">
        <w:t xml:space="preserve"> be </w:t>
      </w:r>
      <w:r>
        <w:t xml:space="preserve"> required at this stage. However, the Authority reserves the right to verify all or any responses at any stage during the process, and where that reveals that the response was incorrect, the Potential Supplier may be eliminated.  </w:t>
      </w:r>
    </w:p>
    <w:p w14:paraId="3E7011CF" w14:textId="77777777" w:rsidR="00EA6D2A" w:rsidRDefault="00EA6D2A" w:rsidP="00EA6D2A">
      <w:r>
        <w:t xml:space="preserve"> </w:t>
      </w:r>
    </w:p>
    <w:p w14:paraId="6C67FE06" w14:textId="77777777" w:rsidR="00EA6D2A" w:rsidRDefault="00EA6D2A" w:rsidP="00EA6D2A">
      <w:r>
        <w:t xml:space="preserve">All questions in the “Information Only” worksheet of the Procurement Documents </w:t>
      </w:r>
      <w:proofErr w:type="gramStart"/>
      <w:r>
        <w:t>are</w:t>
      </w:r>
      <w:proofErr w:type="gramEnd"/>
      <w:r>
        <w:t xml:space="preserve"> classified as such. The Authority may seek independent financial and market advice to validate information </w:t>
      </w:r>
      <w:r>
        <w:lastRenderedPageBreak/>
        <w:t xml:space="preserve">declared, or to assist in the evaluation of the Potential Supplier’s response throughout the PQQ and Invitation to Tender Event. </w:t>
      </w:r>
    </w:p>
    <w:p w14:paraId="6C89257C" w14:textId="77777777" w:rsidR="00EA6D2A" w:rsidRDefault="00EA6D2A" w:rsidP="00EA6D2A">
      <w:r>
        <w:t xml:space="preserve"> </w:t>
      </w:r>
    </w:p>
    <w:p w14:paraId="24D19E7A" w14:textId="4BFABD8E" w:rsidR="000917FB" w:rsidRPr="00F71A7E" w:rsidRDefault="00EA6D2A" w:rsidP="000917FB">
      <w:pPr>
        <w:ind w:firstLineChars="600" w:firstLine="1200"/>
      </w:pPr>
      <w:r>
        <w:t xml:space="preserve">During the PQQ stage, the </w:t>
      </w:r>
      <w:r w:rsidRPr="00F71A7E">
        <w:t xml:space="preserve">intention is for the top 5 highest scoring Potential Suppliers of the Capability and Experience questions (of whom would have all answered “Yes” to the Pre-requisite questions) to be taken forward to demonstration and technical review stage and invited to submit formal bids by way of completion of an Invitation to Tender (ITT). </w:t>
      </w:r>
      <w:r w:rsidR="000917FB" w:rsidRPr="00F71A7E">
        <w:t>  Any PQQ submission that achieves a total evaluated score of less than 50 out of 100 will be deemed of insufficient standard to be invited to tender.</w:t>
      </w:r>
    </w:p>
    <w:p w14:paraId="54436B15" w14:textId="6F88F105" w:rsidR="00EA6D2A" w:rsidRDefault="00EA6D2A" w:rsidP="00EA6D2A">
      <w:r w:rsidRPr="00F71A7E">
        <w:t>Both the demonstration and the submission of the ITT will be evaluated and scored in accordance with Award Criteria published within the ITT procurement documents.</w:t>
      </w:r>
      <w:r>
        <w:tab/>
      </w:r>
    </w:p>
    <w:p w14:paraId="73C409E1" w14:textId="77777777" w:rsidR="00EA6D2A" w:rsidRPr="00EA6D2A" w:rsidRDefault="00EA6D2A" w:rsidP="00EA6D2A"/>
    <w:p w14:paraId="0FF4837C" w14:textId="2ADC7B11" w:rsidR="001C4223" w:rsidRPr="00D45EAE" w:rsidRDefault="001C4223" w:rsidP="00311E73">
      <w:pPr>
        <w:pStyle w:val="Heading1"/>
        <w:jc w:val="both"/>
      </w:pPr>
      <w:bookmarkStart w:id="6" w:name="_Toc51581946"/>
      <w:r>
        <w:t>Communications</w:t>
      </w:r>
      <w:r w:rsidR="00D33B5F">
        <w:t xml:space="preserve"> and Q</w:t>
      </w:r>
      <w:r w:rsidR="00D45EAE">
        <w:t>ueries</w:t>
      </w:r>
      <w:bookmarkEnd w:id="6"/>
    </w:p>
    <w:p w14:paraId="0FF4837D" w14:textId="17F4328D" w:rsidR="001C4223" w:rsidRPr="000D2445" w:rsidRDefault="001C4223" w:rsidP="00311E73">
      <w:pPr>
        <w:jc w:val="both"/>
        <w:rPr>
          <w:szCs w:val="20"/>
        </w:rPr>
      </w:pPr>
      <w:r>
        <w:rPr>
          <w:szCs w:val="20"/>
        </w:rPr>
        <w:t xml:space="preserve">All communications relating to this </w:t>
      </w:r>
      <w:r w:rsidR="00F43837">
        <w:rPr>
          <w:szCs w:val="20"/>
        </w:rPr>
        <w:t>PQQ</w:t>
      </w:r>
      <w:r w:rsidR="00D86731">
        <w:rPr>
          <w:szCs w:val="20"/>
        </w:rPr>
        <w:t xml:space="preserve"> will be conducted </w:t>
      </w:r>
      <w:r w:rsidR="00D86731" w:rsidRPr="000D2445">
        <w:rPr>
          <w:szCs w:val="20"/>
        </w:rPr>
        <w:t>via Emptoris</w:t>
      </w:r>
      <w:r w:rsidRPr="000D2445">
        <w:rPr>
          <w:szCs w:val="20"/>
        </w:rPr>
        <w:t>.  Any communications received via other methods will be excluded from consideration (</w:t>
      </w:r>
      <w:proofErr w:type="spellStart"/>
      <w:r w:rsidRPr="000D2445">
        <w:rPr>
          <w:szCs w:val="20"/>
        </w:rPr>
        <w:t>i.e</w:t>
      </w:r>
      <w:proofErr w:type="spellEnd"/>
      <w:r w:rsidRPr="000D2445">
        <w:rPr>
          <w:szCs w:val="20"/>
        </w:rPr>
        <w:t xml:space="preserve"> queries/ submission of evidence).</w:t>
      </w:r>
    </w:p>
    <w:p w14:paraId="0FF4837E" w14:textId="77777777" w:rsidR="001C4223" w:rsidRPr="000D2445" w:rsidRDefault="001C4223" w:rsidP="00311E73">
      <w:pPr>
        <w:jc w:val="both"/>
        <w:rPr>
          <w:szCs w:val="20"/>
        </w:rPr>
      </w:pPr>
    </w:p>
    <w:p w14:paraId="0FF4837F" w14:textId="77777777" w:rsidR="001C4223" w:rsidRPr="000D2445" w:rsidRDefault="00DA75A6" w:rsidP="00311E73">
      <w:pPr>
        <w:jc w:val="both"/>
        <w:rPr>
          <w:szCs w:val="20"/>
        </w:rPr>
      </w:pPr>
      <w:r w:rsidRPr="000D2445">
        <w:rPr>
          <w:szCs w:val="20"/>
        </w:rPr>
        <w:t>You must ensure that your</w:t>
      </w:r>
      <w:r w:rsidR="001C4223" w:rsidRPr="000D2445">
        <w:rPr>
          <w:szCs w:val="20"/>
        </w:rPr>
        <w:t xml:space="preserve"> point of contact in Emptoris (and Achilles) </w:t>
      </w:r>
      <w:proofErr w:type="gramStart"/>
      <w:r w:rsidR="001C4223" w:rsidRPr="000D2445">
        <w:rPr>
          <w:szCs w:val="20"/>
        </w:rPr>
        <w:t>is accurate at all times</w:t>
      </w:r>
      <w:proofErr w:type="gramEnd"/>
      <w:r w:rsidR="001C4223" w:rsidRPr="000D2445">
        <w:rPr>
          <w:szCs w:val="20"/>
        </w:rPr>
        <w:t xml:space="preserve"> as the Authority will not be under any obligation to chase responses</w:t>
      </w:r>
      <w:r w:rsidRPr="000D2445">
        <w:rPr>
          <w:szCs w:val="20"/>
        </w:rPr>
        <w:t xml:space="preserve"> or to circulate to additional points of contact</w:t>
      </w:r>
      <w:r w:rsidR="001C4223" w:rsidRPr="000D2445">
        <w:rPr>
          <w:szCs w:val="20"/>
        </w:rPr>
        <w:t>.</w:t>
      </w:r>
    </w:p>
    <w:p w14:paraId="0FF48380" w14:textId="77777777" w:rsidR="00D86731" w:rsidRPr="000D2445" w:rsidRDefault="00D86731" w:rsidP="00311E73">
      <w:pPr>
        <w:jc w:val="both"/>
        <w:rPr>
          <w:szCs w:val="20"/>
        </w:rPr>
      </w:pPr>
    </w:p>
    <w:p w14:paraId="0FF48381" w14:textId="4C37DB6F" w:rsidR="00D86731" w:rsidRPr="00D41E50" w:rsidRDefault="00D86731" w:rsidP="00311E73">
      <w:pPr>
        <w:jc w:val="both"/>
        <w:rPr>
          <w:szCs w:val="20"/>
        </w:rPr>
      </w:pPr>
      <w:r w:rsidRPr="000D2445">
        <w:rPr>
          <w:szCs w:val="20"/>
        </w:rPr>
        <w:t xml:space="preserve">If Potential </w:t>
      </w:r>
      <w:r w:rsidR="00686F2D" w:rsidRPr="000D2445">
        <w:rPr>
          <w:szCs w:val="20"/>
        </w:rPr>
        <w:t>Applicants</w:t>
      </w:r>
      <w:r w:rsidRPr="000D2445">
        <w:rPr>
          <w:szCs w:val="20"/>
        </w:rPr>
        <w:t xml:space="preserve"> have any queries regarding this </w:t>
      </w:r>
      <w:r w:rsidR="00F43837" w:rsidRPr="000D2445">
        <w:rPr>
          <w:szCs w:val="20"/>
        </w:rPr>
        <w:t>PQQ</w:t>
      </w:r>
      <w:r w:rsidRPr="000D2445">
        <w:rPr>
          <w:szCs w:val="20"/>
        </w:rPr>
        <w:t>, these should be submitted</w:t>
      </w:r>
      <w:r w:rsidR="00686F2D" w:rsidRPr="000D2445">
        <w:rPr>
          <w:szCs w:val="20"/>
        </w:rPr>
        <w:t xml:space="preserve"> to the </w:t>
      </w:r>
      <w:r w:rsidR="00F43837" w:rsidRPr="000D2445">
        <w:rPr>
          <w:szCs w:val="20"/>
        </w:rPr>
        <w:t>PQQ</w:t>
      </w:r>
      <w:r w:rsidR="00DA75A6" w:rsidRPr="000D2445">
        <w:rPr>
          <w:szCs w:val="20"/>
        </w:rPr>
        <w:t xml:space="preserve"> lead</w:t>
      </w:r>
      <w:r w:rsidRPr="000D2445">
        <w:rPr>
          <w:szCs w:val="20"/>
        </w:rPr>
        <w:t xml:space="preserve"> using Emptoris messaging.  </w:t>
      </w:r>
      <w:r w:rsidR="00AE6694" w:rsidRPr="000D2445">
        <w:rPr>
          <w:szCs w:val="20"/>
        </w:rPr>
        <w:t xml:space="preserve">No approach of any kind in connection with this </w:t>
      </w:r>
      <w:r w:rsidR="00F43837" w:rsidRPr="000D2445">
        <w:rPr>
          <w:szCs w:val="20"/>
        </w:rPr>
        <w:t>PQQ</w:t>
      </w:r>
      <w:r w:rsidR="00AE6694" w:rsidRPr="000D2445">
        <w:rPr>
          <w:szCs w:val="20"/>
        </w:rPr>
        <w:t xml:space="preserve"> should be made to any other person within or associated with the Authority.  </w:t>
      </w:r>
      <w:r w:rsidR="00D1498E" w:rsidRPr="000D2445">
        <w:rPr>
          <w:szCs w:val="20"/>
        </w:rPr>
        <w:t xml:space="preserve">Please do not refer to your identity in the body of the question.  </w:t>
      </w:r>
      <w:r w:rsidRPr="000D2445">
        <w:rPr>
          <w:szCs w:val="20"/>
        </w:rPr>
        <w:t xml:space="preserve">The last day for submission of queries from Potential </w:t>
      </w:r>
      <w:r w:rsidR="00686F2D" w:rsidRPr="000D2445">
        <w:rPr>
          <w:szCs w:val="20"/>
        </w:rPr>
        <w:t>Applicants</w:t>
      </w:r>
      <w:r>
        <w:rPr>
          <w:szCs w:val="20"/>
        </w:rPr>
        <w:t xml:space="preserve"> is seven days prior to the closing date.  </w:t>
      </w:r>
      <w:r w:rsidRPr="00D41E50">
        <w:rPr>
          <w:szCs w:val="20"/>
        </w:rPr>
        <w:t>Any queries received after this date may not be responded to.</w:t>
      </w:r>
    </w:p>
    <w:p w14:paraId="0FF48382" w14:textId="77777777" w:rsidR="00D86731" w:rsidRDefault="00D86731" w:rsidP="00311E73">
      <w:pPr>
        <w:jc w:val="both"/>
        <w:rPr>
          <w:szCs w:val="20"/>
        </w:rPr>
      </w:pPr>
    </w:p>
    <w:p w14:paraId="0FF48383" w14:textId="6CF316ED" w:rsidR="00D86731" w:rsidRDefault="00D86731" w:rsidP="00311E73">
      <w:pPr>
        <w:jc w:val="both"/>
        <w:rPr>
          <w:szCs w:val="20"/>
        </w:rPr>
      </w:pPr>
      <w:r>
        <w:rPr>
          <w:szCs w:val="20"/>
        </w:rPr>
        <w:t xml:space="preserve">The Authority will </w:t>
      </w:r>
      <w:r w:rsidRPr="00552582">
        <w:rPr>
          <w:szCs w:val="20"/>
        </w:rPr>
        <w:t xml:space="preserve">publish responses to queries in the “Attachments” section of </w:t>
      </w:r>
      <w:r w:rsidR="00DA75A6" w:rsidRPr="00552582">
        <w:rPr>
          <w:szCs w:val="20"/>
        </w:rPr>
        <w:t xml:space="preserve">the </w:t>
      </w:r>
      <w:r w:rsidR="00F43837" w:rsidRPr="00552582">
        <w:rPr>
          <w:szCs w:val="20"/>
        </w:rPr>
        <w:t>PQQ</w:t>
      </w:r>
      <w:r w:rsidR="00DA75A6" w:rsidRPr="00552582">
        <w:rPr>
          <w:szCs w:val="20"/>
        </w:rPr>
        <w:t xml:space="preserve"> </w:t>
      </w:r>
      <w:r w:rsidRPr="00552582">
        <w:rPr>
          <w:szCs w:val="20"/>
        </w:rPr>
        <w:t xml:space="preserve">(“Questions and Answers” document) visible to all Potential </w:t>
      </w:r>
      <w:r w:rsidR="00686F2D" w:rsidRPr="00552582">
        <w:rPr>
          <w:szCs w:val="20"/>
        </w:rPr>
        <w:t>Applicants</w:t>
      </w:r>
      <w:r w:rsidRPr="00552582">
        <w:rPr>
          <w:szCs w:val="20"/>
        </w:rPr>
        <w:t>.</w:t>
      </w:r>
      <w:r w:rsidR="00D1498E" w:rsidRPr="00552582">
        <w:rPr>
          <w:szCs w:val="20"/>
        </w:rPr>
        <w:t xml:space="preserve">  If you believe your query to be confidential and do not wish the query or the response to be visible</w:t>
      </w:r>
      <w:r w:rsidR="00D1498E">
        <w:rPr>
          <w:szCs w:val="20"/>
        </w:rPr>
        <w:t xml:space="preserve"> to all Potential </w:t>
      </w:r>
      <w:r w:rsidR="00686F2D">
        <w:rPr>
          <w:szCs w:val="20"/>
        </w:rPr>
        <w:t>Applicants</w:t>
      </w:r>
      <w:r w:rsidR="00D1498E">
        <w:rPr>
          <w:szCs w:val="20"/>
        </w:rPr>
        <w:t xml:space="preserve">, you must notify the Authority and provide justification for keeping the question and response visible only to you.  </w:t>
      </w:r>
      <w:r>
        <w:rPr>
          <w:szCs w:val="20"/>
        </w:rPr>
        <w:t xml:space="preserve"> </w:t>
      </w:r>
      <w:r w:rsidR="00D1498E">
        <w:rPr>
          <w:szCs w:val="20"/>
        </w:rPr>
        <w:t xml:space="preserve">If the Authority does not feel there is </w:t>
      </w:r>
      <w:proofErr w:type="gramStart"/>
      <w:r w:rsidR="00D1498E">
        <w:rPr>
          <w:szCs w:val="20"/>
        </w:rPr>
        <w:t>sufficient</w:t>
      </w:r>
      <w:proofErr w:type="gramEnd"/>
      <w:r w:rsidR="00D1498E">
        <w:rPr>
          <w:szCs w:val="20"/>
        </w:rPr>
        <w:t xml:space="preserve"> justification, we </w:t>
      </w:r>
      <w:r w:rsidR="00AB2516">
        <w:rPr>
          <w:szCs w:val="20"/>
        </w:rPr>
        <w:t xml:space="preserve">will </w:t>
      </w:r>
      <w:r w:rsidR="00D1498E">
        <w:rPr>
          <w:szCs w:val="20"/>
        </w:rPr>
        <w:t>ask you to confirm whether you want the question to be withdrawn or published to all and will thereafter follow your decision.</w:t>
      </w:r>
    </w:p>
    <w:p w14:paraId="0FF48384" w14:textId="77777777" w:rsidR="00D1498E" w:rsidRDefault="00D1498E" w:rsidP="00311E73">
      <w:pPr>
        <w:jc w:val="both"/>
        <w:rPr>
          <w:szCs w:val="20"/>
        </w:rPr>
      </w:pPr>
    </w:p>
    <w:p w14:paraId="0FF48385" w14:textId="77777777" w:rsidR="00632C11" w:rsidRDefault="00D1498E" w:rsidP="00311E73">
      <w:pPr>
        <w:jc w:val="both"/>
        <w:rPr>
          <w:szCs w:val="20"/>
        </w:rPr>
      </w:pPr>
      <w:r w:rsidRPr="00D43CD4">
        <w:rPr>
          <w:szCs w:val="20"/>
        </w:rPr>
        <w:t xml:space="preserve">Potential </w:t>
      </w:r>
      <w:r w:rsidR="00686F2D" w:rsidRPr="00D43CD4">
        <w:rPr>
          <w:szCs w:val="20"/>
        </w:rPr>
        <w:t>Applicants</w:t>
      </w:r>
      <w:r w:rsidR="00D86731" w:rsidRPr="00D43CD4">
        <w:rPr>
          <w:szCs w:val="20"/>
        </w:rPr>
        <w:t xml:space="preserve"> are responsible for monitoring Emptoris and the ‘Questions and Answers’ </w:t>
      </w:r>
      <w:proofErr w:type="gramStart"/>
      <w:r w:rsidR="00D86731" w:rsidRPr="00D43CD4">
        <w:rPr>
          <w:szCs w:val="20"/>
        </w:rPr>
        <w:t>document in particular, for</w:t>
      </w:r>
      <w:proofErr w:type="gramEnd"/>
      <w:r w:rsidR="00D86731" w:rsidRPr="00D43CD4">
        <w:rPr>
          <w:szCs w:val="20"/>
        </w:rPr>
        <w:t xml:space="preserve"> any responses to questions, general clarifications</w:t>
      </w:r>
      <w:r w:rsidRPr="00D43CD4">
        <w:rPr>
          <w:szCs w:val="20"/>
        </w:rPr>
        <w:t xml:space="preserve"> or other information issued by the Authority</w:t>
      </w:r>
      <w:r w:rsidR="00D86731" w:rsidRPr="00D43CD4">
        <w:rPr>
          <w:szCs w:val="20"/>
        </w:rPr>
        <w:t>.</w:t>
      </w:r>
      <w:r w:rsidR="00D86731">
        <w:rPr>
          <w:szCs w:val="20"/>
        </w:rPr>
        <w:t xml:space="preserve">  </w:t>
      </w:r>
    </w:p>
    <w:p w14:paraId="0FF48386" w14:textId="77777777" w:rsidR="00632C11" w:rsidRPr="00D41E50" w:rsidRDefault="00632C11" w:rsidP="00311E73">
      <w:pPr>
        <w:jc w:val="both"/>
        <w:rPr>
          <w:szCs w:val="20"/>
        </w:rPr>
      </w:pPr>
    </w:p>
    <w:p w14:paraId="0FF48387" w14:textId="77777777" w:rsidR="00311D7F" w:rsidRPr="00D41E50" w:rsidRDefault="00311D7F" w:rsidP="00311E73">
      <w:pPr>
        <w:pStyle w:val="Heading1"/>
        <w:jc w:val="both"/>
      </w:pPr>
      <w:bookmarkStart w:id="7" w:name="_Toc51581947"/>
      <w:r w:rsidRPr="00D41E50">
        <w:t>Confidentiality</w:t>
      </w:r>
      <w:r w:rsidR="003365BB">
        <w:t xml:space="preserve"> and Intellectual Property Rights</w:t>
      </w:r>
      <w:bookmarkEnd w:id="7"/>
    </w:p>
    <w:p w14:paraId="0FF48388" w14:textId="01B9DA4A" w:rsidR="005D0FF0" w:rsidRPr="002F4311" w:rsidRDefault="005D0FF0" w:rsidP="00311E73">
      <w:pPr>
        <w:jc w:val="both"/>
        <w:rPr>
          <w:szCs w:val="20"/>
        </w:rPr>
      </w:pPr>
      <w:r>
        <w:rPr>
          <w:color w:val="000000"/>
          <w:szCs w:val="20"/>
        </w:rPr>
        <w:t xml:space="preserve">Potential </w:t>
      </w:r>
      <w:r w:rsidR="00686F2D">
        <w:rPr>
          <w:color w:val="000000"/>
          <w:szCs w:val="20"/>
        </w:rPr>
        <w:t>Applicants</w:t>
      </w:r>
      <w:r w:rsidRPr="00D11847">
        <w:rPr>
          <w:color w:val="000000"/>
          <w:szCs w:val="20"/>
        </w:rPr>
        <w:t xml:space="preserve"> shall not disclose any information in relation to either this </w:t>
      </w:r>
      <w:r w:rsidR="00627CAD">
        <w:rPr>
          <w:color w:val="000000"/>
          <w:szCs w:val="20"/>
        </w:rPr>
        <w:t>PQQ</w:t>
      </w:r>
      <w:r w:rsidRPr="00D11847">
        <w:rPr>
          <w:color w:val="000000"/>
          <w:szCs w:val="20"/>
        </w:rPr>
        <w:t xml:space="preserve">, their </w:t>
      </w:r>
      <w:r w:rsidR="00627CAD">
        <w:rPr>
          <w:color w:val="000000"/>
          <w:szCs w:val="20"/>
        </w:rPr>
        <w:t>PQQ</w:t>
      </w:r>
      <w:r w:rsidRPr="00D11847">
        <w:rPr>
          <w:color w:val="000000"/>
          <w:szCs w:val="20"/>
        </w:rPr>
        <w:t xml:space="preserve"> submission or subsequent queries and correspondence in whole or in part to any third party prior to either the award of </w:t>
      </w:r>
      <w:r w:rsidR="002B7B8F">
        <w:rPr>
          <w:color w:val="000000"/>
          <w:szCs w:val="20"/>
        </w:rPr>
        <w:t xml:space="preserve">a </w:t>
      </w:r>
      <w:r w:rsidR="002B7B8F" w:rsidRPr="00B65FA6">
        <w:rPr>
          <w:color w:val="000000"/>
          <w:szCs w:val="20"/>
        </w:rPr>
        <w:t>resultant</w:t>
      </w:r>
      <w:r w:rsidRPr="00B65FA6">
        <w:rPr>
          <w:color w:val="000000"/>
          <w:szCs w:val="20"/>
        </w:rPr>
        <w:t xml:space="preserve"> </w:t>
      </w:r>
      <w:r w:rsidR="00B65FA6" w:rsidRPr="00B65FA6">
        <w:rPr>
          <w:szCs w:val="20"/>
        </w:rPr>
        <w:t>Contract</w:t>
      </w:r>
      <w:r w:rsidR="00B65FA6">
        <w:rPr>
          <w:szCs w:val="20"/>
        </w:rPr>
        <w:t xml:space="preserve"> </w:t>
      </w:r>
      <w:r w:rsidRPr="00D11847">
        <w:rPr>
          <w:color w:val="000000"/>
          <w:szCs w:val="20"/>
        </w:rPr>
        <w:t>by us</w:t>
      </w:r>
      <w:r w:rsidRPr="00D11847">
        <w:rPr>
          <w:szCs w:val="20"/>
        </w:rPr>
        <w:t xml:space="preserve"> </w:t>
      </w:r>
      <w:r w:rsidRPr="00D11847">
        <w:rPr>
          <w:color w:val="000000"/>
          <w:szCs w:val="20"/>
        </w:rPr>
        <w:t xml:space="preserve">or if permission is received in writing from a duly authorised representative. </w:t>
      </w:r>
    </w:p>
    <w:p w14:paraId="0FF48389" w14:textId="77777777" w:rsidR="005D0FF0" w:rsidRPr="002F4311" w:rsidRDefault="005D0FF0" w:rsidP="00311E73">
      <w:pPr>
        <w:jc w:val="both"/>
        <w:rPr>
          <w:szCs w:val="20"/>
        </w:rPr>
      </w:pPr>
    </w:p>
    <w:p w14:paraId="0FF4838A" w14:textId="6181BA35" w:rsidR="005D0FF0" w:rsidRDefault="005D0FF0" w:rsidP="00311E73">
      <w:pPr>
        <w:jc w:val="both"/>
        <w:rPr>
          <w:color w:val="000000"/>
          <w:szCs w:val="20"/>
        </w:rPr>
      </w:pPr>
      <w:r w:rsidRPr="005D0FF0">
        <w:rPr>
          <w:color w:val="000000"/>
          <w:szCs w:val="20"/>
        </w:rPr>
        <w:t xml:space="preserve">Potential </w:t>
      </w:r>
      <w:r w:rsidR="002B7B8F">
        <w:rPr>
          <w:color w:val="000000"/>
          <w:szCs w:val="20"/>
        </w:rPr>
        <w:t>Applicants</w:t>
      </w:r>
      <w:r w:rsidRPr="005D0FF0">
        <w:rPr>
          <w:color w:val="000000"/>
          <w:szCs w:val="20"/>
        </w:rPr>
        <w:t xml:space="preserve"> are to restrict circulation and distribution of this </w:t>
      </w:r>
      <w:r w:rsidR="00627CAD">
        <w:rPr>
          <w:color w:val="000000"/>
          <w:szCs w:val="20"/>
        </w:rPr>
        <w:t>PQQ</w:t>
      </w:r>
      <w:r w:rsidRPr="005D0FF0">
        <w:rPr>
          <w:color w:val="000000"/>
          <w:szCs w:val="20"/>
        </w:rPr>
        <w:t xml:space="preserve"> to Suppliers and Subcontractors on a "need to know" basis and then only for the purposes for which it has been supplied and when the Supplier or Subcontractor is bound by the same terms of confidentiality stated herein.  </w:t>
      </w:r>
    </w:p>
    <w:p w14:paraId="0FF4838B" w14:textId="77777777" w:rsidR="005D0FF0" w:rsidRPr="005D0FF0" w:rsidRDefault="005D0FF0" w:rsidP="00311E73">
      <w:pPr>
        <w:jc w:val="both"/>
        <w:rPr>
          <w:color w:val="000000"/>
          <w:szCs w:val="20"/>
        </w:rPr>
      </w:pPr>
    </w:p>
    <w:p w14:paraId="0FF4838C" w14:textId="0B116124" w:rsidR="005D0FF0" w:rsidRDefault="005D0FF0" w:rsidP="00311E73">
      <w:pPr>
        <w:jc w:val="both"/>
        <w:rPr>
          <w:color w:val="000000"/>
          <w:szCs w:val="20"/>
        </w:rPr>
      </w:pPr>
      <w:r w:rsidRPr="002F4311">
        <w:rPr>
          <w:color w:val="000000"/>
          <w:szCs w:val="20"/>
        </w:rPr>
        <w:t>If you, as representative of your company, are not in agreement with this “Confidentiality Notice” or you elect not to respond</w:t>
      </w:r>
      <w:r>
        <w:rPr>
          <w:color w:val="000000"/>
          <w:szCs w:val="20"/>
        </w:rPr>
        <w:t xml:space="preserve"> to this </w:t>
      </w:r>
      <w:r w:rsidR="00627CAD">
        <w:rPr>
          <w:color w:val="000000"/>
          <w:szCs w:val="20"/>
        </w:rPr>
        <w:t>PQQ</w:t>
      </w:r>
      <w:r w:rsidR="002B7B8F">
        <w:rPr>
          <w:color w:val="000000"/>
          <w:szCs w:val="20"/>
        </w:rPr>
        <w:t>,</w:t>
      </w:r>
      <w:r w:rsidRPr="002F4311">
        <w:rPr>
          <w:color w:val="000000"/>
          <w:szCs w:val="20"/>
        </w:rPr>
        <w:t xml:space="preserve"> please inform</w:t>
      </w:r>
      <w:r>
        <w:rPr>
          <w:color w:val="000000"/>
          <w:szCs w:val="20"/>
        </w:rPr>
        <w:t xml:space="preserve"> the </w:t>
      </w:r>
      <w:r w:rsidR="00627CAD">
        <w:rPr>
          <w:color w:val="000000"/>
          <w:szCs w:val="20"/>
        </w:rPr>
        <w:t>PQQ</w:t>
      </w:r>
      <w:r w:rsidR="00AB2516">
        <w:rPr>
          <w:color w:val="000000"/>
          <w:szCs w:val="20"/>
        </w:rPr>
        <w:t xml:space="preserve"> lead </w:t>
      </w:r>
      <w:r>
        <w:rPr>
          <w:color w:val="000000"/>
          <w:szCs w:val="20"/>
        </w:rPr>
        <w:t xml:space="preserve">and delete all associated documents and correspondence, </w:t>
      </w:r>
      <w:proofErr w:type="gramStart"/>
      <w:r>
        <w:rPr>
          <w:color w:val="000000"/>
          <w:szCs w:val="20"/>
        </w:rPr>
        <w:t>at all times</w:t>
      </w:r>
      <w:proofErr w:type="gramEnd"/>
      <w:r>
        <w:rPr>
          <w:color w:val="000000"/>
          <w:szCs w:val="20"/>
        </w:rPr>
        <w:t xml:space="preserve"> </w:t>
      </w:r>
      <w:r w:rsidRPr="002F4311">
        <w:rPr>
          <w:color w:val="000000"/>
          <w:szCs w:val="20"/>
        </w:rPr>
        <w:t>treat</w:t>
      </w:r>
      <w:r>
        <w:rPr>
          <w:color w:val="000000"/>
          <w:szCs w:val="20"/>
        </w:rPr>
        <w:t>ing</w:t>
      </w:r>
      <w:r w:rsidRPr="002F4311">
        <w:rPr>
          <w:color w:val="000000"/>
          <w:szCs w:val="20"/>
        </w:rPr>
        <w:t xml:space="preserve"> the information contained herein as confidential.  Otherwise, th</w:t>
      </w:r>
      <w:r>
        <w:rPr>
          <w:color w:val="000000"/>
          <w:szCs w:val="20"/>
        </w:rPr>
        <w:t xml:space="preserve">ese confidentiality provisions are </w:t>
      </w:r>
      <w:r w:rsidRPr="002F4311">
        <w:rPr>
          <w:color w:val="000000"/>
          <w:szCs w:val="20"/>
        </w:rPr>
        <w:t>deemed accepted</w:t>
      </w:r>
      <w:r>
        <w:rPr>
          <w:color w:val="000000"/>
          <w:szCs w:val="20"/>
        </w:rPr>
        <w:t>.</w:t>
      </w:r>
    </w:p>
    <w:p w14:paraId="0FF4838D" w14:textId="77777777" w:rsidR="003365BB" w:rsidRDefault="003365BB" w:rsidP="00311E73">
      <w:pPr>
        <w:jc w:val="both"/>
        <w:rPr>
          <w:color w:val="000000"/>
          <w:szCs w:val="20"/>
        </w:rPr>
      </w:pPr>
    </w:p>
    <w:p w14:paraId="0FF4838E" w14:textId="006572DD" w:rsidR="003365BB" w:rsidRDefault="003365BB" w:rsidP="00311E73">
      <w:pPr>
        <w:jc w:val="both"/>
        <w:rPr>
          <w:color w:val="000000"/>
          <w:szCs w:val="20"/>
        </w:rPr>
      </w:pPr>
      <w:r>
        <w:rPr>
          <w:color w:val="000000"/>
          <w:szCs w:val="20"/>
        </w:rPr>
        <w:t xml:space="preserve">This </w:t>
      </w:r>
      <w:r w:rsidR="00627CAD">
        <w:rPr>
          <w:color w:val="000000"/>
          <w:szCs w:val="20"/>
        </w:rPr>
        <w:t>PQQ</w:t>
      </w:r>
      <w:r>
        <w:rPr>
          <w:color w:val="000000"/>
          <w:szCs w:val="20"/>
        </w:rPr>
        <w:t xml:space="preserve"> and all associated documentation remain the property of the Authority.  The Authority provides a license to the Potential </w:t>
      </w:r>
      <w:r w:rsidR="002B7B8F">
        <w:rPr>
          <w:color w:val="000000"/>
          <w:szCs w:val="20"/>
        </w:rPr>
        <w:t>Applicant</w:t>
      </w:r>
      <w:r>
        <w:rPr>
          <w:color w:val="000000"/>
          <w:szCs w:val="20"/>
        </w:rPr>
        <w:t xml:space="preserve"> to use the information for the sole purpose of responding to this </w:t>
      </w:r>
      <w:r w:rsidR="00627CAD">
        <w:rPr>
          <w:color w:val="000000"/>
          <w:szCs w:val="20"/>
        </w:rPr>
        <w:t>PQQ</w:t>
      </w:r>
      <w:r>
        <w:rPr>
          <w:color w:val="000000"/>
          <w:szCs w:val="20"/>
        </w:rPr>
        <w:t>.</w:t>
      </w:r>
    </w:p>
    <w:p w14:paraId="0FF4838F" w14:textId="77777777" w:rsidR="003365BB" w:rsidRDefault="003365BB" w:rsidP="00311E73">
      <w:pPr>
        <w:jc w:val="both"/>
        <w:rPr>
          <w:color w:val="000000"/>
          <w:szCs w:val="20"/>
        </w:rPr>
      </w:pPr>
    </w:p>
    <w:p w14:paraId="0FF48390" w14:textId="4CC7C66B" w:rsidR="003365BB" w:rsidRDefault="003365BB" w:rsidP="00311E73">
      <w:pPr>
        <w:jc w:val="both"/>
        <w:rPr>
          <w:color w:val="000000"/>
          <w:szCs w:val="20"/>
        </w:rPr>
      </w:pPr>
      <w:r>
        <w:rPr>
          <w:color w:val="000000"/>
          <w:szCs w:val="20"/>
        </w:rPr>
        <w:lastRenderedPageBreak/>
        <w:t xml:space="preserve">The Potential </w:t>
      </w:r>
      <w:r w:rsidR="002B7B8F">
        <w:rPr>
          <w:color w:val="000000"/>
          <w:szCs w:val="20"/>
        </w:rPr>
        <w:t>Applicant</w:t>
      </w:r>
      <w:r>
        <w:rPr>
          <w:color w:val="000000"/>
          <w:szCs w:val="20"/>
        </w:rPr>
        <w:t xml:space="preserve"> grants the Authority a non</w:t>
      </w:r>
      <w:r w:rsidR="00627CAD">
        <w:rPr>
          <w:color w:val="000000"/>
          <w:szCs w:val="20"/>
        </w:rPr>
        <w:t>-</w:t>
      </w:r>
      <w:r>
        <w:rPr>
          <w:color w:val="000000"/>
          <w:szCs w:val="20"/>
        </w:rPr>
        <w:t xml:space="preserve">exclusive, irrevocable and perpetual licence to copy, reproduce </w:t>
      </w:r>
      <w:r w:rsidR="00C30DF3">
        <w:rPr>
          <w:color w:val="000000"/>
          <w:szCs w:val="20"/>
        </w:rPr>
        <w:t xml:space="preserve">and use </w:t>
      </w:r>
      <w:r>
        <w:rPr>
          <w:color w:val="000000"/>
          <w:szCs w:val="20"/>
        </w:rPr>
        <w:t xml:space="preserve">any intellectual property contained within its </w:t>
      </w:r>
      <w:r w:rsidR="00627CAD">
        <w:rPr>
          <w:color w:val="000000"/>
          <w:szCs w:val="20"/>
        </w:rPr>
        <w:t>PQQ</w:t>
      </w:r>
      <w:r w:rsidR="00187298">
        <w:rPr>
          <w:color w:val="000000"/>
          <w:szCs w:val="20"/>
        </w:rPr>
        <w:t xml:space="preserve"> response</w:t>
      </w:r>
      <w:r>
        <w:rPr>
          <w:color w:val="000000"/>
          <w:szCs w:val="20"/>
        </w:rPr>
        <w:t xml:space="preserve"> for the purposes of carrying out the evaluation of th</w:t>
      </w:r>
      <w:r w:rsidR="00187298">
        <w:rPr>
          <w:color w:val="000000"/>
          <w:szCs w:val="20"/>
        </w:rPr>
        <w:t xml:space="preserve">e </w:t>
      </w:r>
      <w:r w:rsidR="00627CAD">
        <w:rPr>
          <w:color w:val="000000"/>
          <w:szCs w:val="20"/>
        </w:rPr>
        <w:t>PQQ</w:t>
      </w:r>
      <w:r w:rsidR="00187298">
        <w:rPr>
          <w:color w:val="000000"/>
          <w:szCs w:val="20"/>
        </w:rPr>
        <w:t xml:space="preserve"> response</w:t>
      </w:r>
      <w:r>
        <w:rPr>
          <w:color w:val="000000"/>
          <w:szCs w:val="20"/>
        </w:rPr>
        <w:t xml:space="preserve"> and for entering into a</w:t>
      </w:r>
      <w:r w:rsidR="00187298">
        <w:rPr>
          <w:color w:val="000000"/>
          <w:szCs w:val="20"/>
        </w:rPr>
        <w:t xml:space="preserve">ny </w:t>
      </w:r>
      <w:r w:rsidR="00187298" w:rsidRPr="00B65FA6">
        <w:rPr>
          <w:color w:val="000000"/>
          <w:szCs w:val="20"/>
        </w:rPr>
        <w:t>resultant</w:t>
      </w:r>
      <w:r w:rsidRPr="00B65FA6">
        <w:rPr>
          <w:color w:val="000000"/>
          <w:szCs w:val="20"/>
        </w:rPr>
        <w:t xml:space="preserve"> </w:t>
      </w:r>
      <w:r w:rsidR="00B65FA6" w:rsidRPr="00B65FA6">
        <w:rPr>
          <w:szCs w:val="20"/>
        </w:rPr>
        <w:t>Contract</w:t>
      </w:r>
      <w:r w:rsidR="0096360A" w:rsidRPr="00B65FA6">
        <w:rPr>
          <w:szCs w:val="20"/>
        </w:rPr>
        <w:t xml:space="preserve"> </w:t>
      </w:r>
      <w:r w:rsidRPr="00B65FA6">
        <w:rPr>
          <w:color w:val="000000"/>
          <w:szCs w:val="20"/>
        </w:rPr>
        <w:t>(where</w:t>
      </w:r>
      <w:r>
        <w:rPr>
          <w:color w:val="000000"/>
          <w:szCs w:val="20"/>
        </w:rPr>
        <w:t xml:space="preserve"> applicable)</w:t>
      </w:r>
      <w:r w:rsidR="00187298">
        <w:rPr>
          <w:color w:val="000000"/>
          <w:szCs w:val="20"/>
        </w:rPr>
        <w:t>.</w:t>
      </w:r>
    </w:p>
    <w:p w14:paraId="0FF48391" w14:textId="77777777" w:rsidR="00E16C26" w:rsidRDefault="00E16C26" w:rsidP="00311E73">
      <w:pPr>
        <w:jc w:val="both"/>
        <w:rPr>
          <w:color w:val="000000"/>
          <w:szCs w:val="20"/>
        </w:rPr>
      </w:pPr>
    </w:p>
    <w:p w14:paraId="0FF48392" w14:textId="77777777" w:rsidR="00E16C26" w:rsidRPr="00D41E50" w:rsidRDefault="00E16C26" w:rsidP="00311E73">
      <w:pPr>
        <w:pStyle w:val="Heading1"/>
        <w:jc w:val="both"/>
      </w:pPr>
      <w:bookmarkStart w:id="8" w:name="_Toc51581948"/>
      <w:r w:rsidRPr="00D41E50">
        <w:t>Acknowledgement</w:t>
      </w:r>
      <w:bookmarkEnd w:id="8"/>
      <w:r w:rsidRPr="00D41E50">
        <w:t xml:space="preserve"> </w:t>
      </w:r>
    </w:p>
    <w:p w14:paraId="0FF48393" w14:textId="139FB32C" w:rsidR="00E16C26" w:rsidRDefault="00775812" w:rsidP="00311E73">
      <w:pPr>
        <w:jc w:val="both"/>
        <w:rPr>
          <w:color w:val="000000"/>
          <w:szCs w:val="20"/>
        </w:rPr>
      </w:pPr>
      <w:r>
        <w:rPr>
          <w:color w:val="000000"/>
          <w:szCs w:val="20"/>
        </w:rPr>
        <w:t>Potential Providers should accept or decline the invitation in Emptoris.  If declining to submit a response, please provide an explanation as to the reasons.</w:t>
      </w:r>
    </w:p>
    <w:p w14:paraId="0FF48394" w14:textId="77777777" w:rsidR="00311D7F" w:rsidRDefault="00311D7F" w:rsidP="00311E73">
      <w:pPr>
        <w:jc w:val="both"/>
        <w:rPr>
          <w:szCs w:val="20"/>
        </w:rPr>
      </w:pPr>
    </w:p>
    <w:p w14:paraId="0FF48395" w14:textId="77777777" w:rsidR="00311D7F" w:rsidRPr="00D41E50" w:rsidRDefault="00D33B5F" w:rsidP="00311E73">
      <w:pPr>
        <w:pStyle w:val="Heading1"/>
        <w:jc w:val="both"/>
      </w:pPr>
      <w:bookmarkStart w:id="9" w:name="_Toc51581949"/>
      <w:r>
        <w:t xml:space="preserve">Information </w:t>
      </w:r>
      <w:r w:rsidR="00790FCD">
        <w:t>Submissions</w:t>
      </w:r>
      <w:bookmarkEnd w:id="9"/>
    </w:p>
    <w:p w14:paraId="217528A3" w14:textId="77777777" w:rsidR="00D0465D" w:rsidRPr="00D0465D" w:rsidRDefault="00D0465D" w:rsidP="00D0465D">
      <w:pPr>
        <w:pStyle w:val="ListParagraph"/>
        <w:keepNext/>
        <w:numPr>
          <w:ilvl w:val="0"/>
          <w:numId w:val="25"/>
        </w:numPr>
        <w:jc w:val="both"/>
        <w:outlineLvl w:val="1"/>
        <w:rPr>
          <w:rFonts w:eastAsiaTheme="majorEastAsia" w:cstheme="majorBidi"/>
          <w:b/>
          <w:bCs/>
          <w:i/>
          <w:iCs/>
          <w:vanish/>
          <w:szCs w:val="28"/>
        </w:rPr>
      </w:pPr>
      <w:bookmarkStart w:id="10" w:name="_Toc466560570"/>
      <w:bookmarkStart w:id="11" w:name="_Toc468971520"/>
      <w:bookmarkStart w:id="12" w:name="_Toc468971638"/>
      <w:bookmarkStart w:id="13" w:name="_Toc474226337"/>
      <w:bookmarkStart w:id="14" w:name="_Toc474226372"/>
      <w:bookmarkStart w:id="15" w:name="_Toc476142352"/>
      <w:bookmarkStart w:id="16" w:name="_Toc476142408"/>
      <w:bookmarkStart w:id="17" w:name="_Toc50538266"/>
      <w:bookmarkStart w:id="18" w:name="_Toc50538358"/>
      <w:bookmarkStart w:id="19" w:name="_Toc50538423"/>
      <w:bookmarkStart w:id="20" w:name="_Toc51581950"/>
      <w:bookmarkEnd w:id="10"/>
      <w:bookmarkEnd w:id="11"/>
      <w:bookmarkEnd w:id="12"/>
      <w:bookmarkEnd w:id="13"/>
      <w:bookmarkEnd w:id="14"/>
      <w:bookmarkEnd w:id="15"/>
      <w:bookmarkEnd w:id="16"/>
      <w:bookmarkEnd w:id="17"/>
      <w:bookmarkEnd w:id="18"/>
      <w:bookmarkEnd w:id="19"/>
      <w:bookmarkEnd w:id="20"/>
    </w:p>
    <w:p w14:paraId="1997358E" w14:textId="77777777" w:rsidR="00D0465D" w:rsidRPr="00D0465D" w:rsidRDefault="00D0465D" w:rsidP="00D0465D">
      <w:pPr>
        <w:pStyle w:val="ListParagraph"/>
        <w:keepNext/>
        <w:numPr>
          <w:ilvl w:val="0"/>
          <w:numId w:val="25"/>
        </w:numPr>
        <w:jc w:val="both"/>
        <w:outlineLvl w:val="1"/>
        <w:rPr>
          <w:rFonts w:eastAsiaTheme="majorEastAsia" w:cstheme="majorBidi"/>
          <w:b/>
          <w:bCs/>
          <w:i/>
          <w:iCs/>
          <w:vanish/>
          <w:szCs w:val="28"/>
        </w:rPr>
      </w:pPr>
      <w:bookmarkStart w:id="21" w:name="_Toc50538267"/>
      <w:bookmarkStart w:id="22" w:name="_Toc50538359"/>
      <w:bookmarkStart w:id="23" w:name="_Toc50538424"/>
      <w:bookmarkStart w:id="24" w:name="_Toc51581951"/>
      <w:bookmarkEnd w:id="21"/>
      <w:bookmarkEnd w:id="22"/>
      <w:bookmarkEnd w:id="23"/>
      <w:bookmarkEnd w:id="24"/>
    </w:p>
    <w:p w14:paraId="0FF48397" w14:textId="26A4C145" w:rsidR="00CB5017" w:rsidRDefault="00E22599" w:rsidP="00D0465D">
      <w:pPr>
        <w:pStyle w:val="Heading2"/>
        <w:numPr>
          <w:ilvl w:val="1"/>
          <w:numId w:val="25"/>
        </w:numPr>
        <w:jc w:val="both"/>
      </w:pPr>
      <w:r>
        <w:t xml:space="preserve">  </w:t>
      </w:r>
      <w:bookmarkStart w:id="25" w:name="_Toc51581952"/>
      <w:r w:rsidR="00CB5017">
        <w:t>Language</w:t>
      </w:r>
      <w:bookmarkEnd w:id="25"/>
    </w:p>
    <w:p w14:paraId="0FF48398" w14:textId="331BF185" w:rsidR="00D45EAE" w:rsidRDefault="00D45EAE" w:rsidP="00311E73">
      <w:pPr>
        <w:jc w:val="both"/>
        <w:rPr>
          <w:szCs w:val="20"/>
        </w:rPr>
      </w:pPr>
      <w:r w:rsidRPr="00D41E50">
        <w:rPr>
          <w:szCs w:val="20"/>
        </w:rPr>
        <w:t xml:space="preserve">The </w:t>
      </w:r>
      <w:r w:rsidR="00D0465D">
        <w:rPr>
          <w:szCs w:val="20"/>
        </w:rPr>
        <w:t>PQQ</w:t>
      </w:r>
      <w:r w:rsidR="00187298">
        <w:rPr>
          <w:szCs w:val="20"/>
        </w:rPr>
        <w:t xml:space="preserve"> response </w:t>
      </w:r>
      <w:r w:rsidRPr="00D41E50">
        <w:rPr>
          <w:szCs w:val="20"/>
        </w:rPr>
        <w:t xml:space="preserve">and all communications relating to the </w:t>
      </w:r>
      <w:r>
        <w:rPr>
          <w:szCs w:val="20"/>
        </w:rPr>
        <w:t>RF</w:t>
      </w:r>
      <w:r w:rsidR="00187298">
        <w:rPr>
          <w:szCs w:val="20"/>
        </w:rPr>
        <w:t>I</w:t>
      </w:r>
      <w:r w:rsidRPr="00D41E50">
        <w:rPr>
          <w:szCs w:val="20"/>
        </w:rPr>
        <w:t xml:space="preserve"> sh</w:t>
      </w:r>
      <w:r>
        <w:rPr>
          <w:szCs w:val="20"/>
        </w:rPr>
        <w:t>all be in the English language.</w:t>
      </w:r>
    </w:p>
    <w:p w14:paraId="0FF48399" w14:textId="77777777" w:rsidR="00D45EAE" w:rsidRDefault="00D45EAE" w:rsidP="00311E73">
      <w:pPr>
        <w:jc w:val="both"/>
        <w:rPr>
          <w:szCs w:val="20"/>
        </w:rPr>
      </w:pPr>
    </w:p>
    <w:p w14:paraId="0FF4839A" w14:textId="77777777" w:rsidR="001B736E" w:rsidRDefault="001B736E" w:rsidP="00311E73">
      <w:pPr>
        <w:jc w:val="both"/>
        <w:rPr>
          <w:szCs w:val="20"/>
        </w:rPr>
      </w:pPr>
    </w:p>
    <w:p w14:paraId="0FF4839B" w14:textId="5F09C800" w:rsidR="00D45EAE" w:rsidRPr="00D45EAE" w:rsidRDefault="00E22599" w:rsidP="008416BA">
      <w:pPr>
        <w:pStyle w:val="Heading2"/>
        <w:numPr>
          <w:ilvl w:val="1"/>
          <w:numId w:val="25"/>
        </w:numPr>
        <w:jc w:val="both"/>
      </w:pPr>
      <w:r>
        <w:t xml:space="preserve">  </w:t>
      </w:r>
      <w:bookmarkStart w:id="26" w:name="_Toc51581953"/>
      <w:r w:rsidR="00D45EAE">
        <w:t xml:space="preserve">Potential </w:t>
      </w:r>
      <w:r w:rsidR="00950102">
        <w:t xml:space="preserve">Applicants </w:t>
      </w:r>
      <w:r w:rsidR="00D0465D">
        <w:t>PQQ</w:t>
      </w:r>
      <w:r w:rsidR="00D45EAE">
        <w:t xml:space="preserve"> Commitment</w:t>
      </w:r>
      <w:bookmarkEnd w:id="26"/>
    </w:p>
    <w:p w14:paraId="0FF4839C" w14:textId="28363B8D" w:rsidR="00335060" w:rsidRPr="00D41E50" w:rsidRDefault="00C52664" w:rsidP="00311E73">
      <w:pPr>
        <w:jc w:val="both"/>
        <w:rPr>
          <w:szCs w:val="20"/>
        </w:rPr>
      </w:pPr>
      <w:r>
        <w:rPr>
          <w:szCs w:val="20"/>
        </w:rPr>
        <w:t xml:space="preserve">Potential </w:t>
      </w:r>
      <w:r w:rsidR="00187298">
        <w:rPr>
          <w:szCs w:val="20"/>
        </w:rPr>
        <w:t>Applicants</w:t>
      </w:r>
      <w:r w:rsidR="00335060" w:rsidRPr="00D41E50">
        <w:rPr>
          <w:szCs w:val="20"/>
        </w:rPr>
        <w:t xml:space="preserve"> shall bear all costs and expenses incurred by them in the prepa</w:t>
      </w:r>
      <w:r>
        <w:rPr>
          <w:szCs w:val="20"/>
        </w:rPr>
        <w:t xml:space="preserve">ration and submission of their </w:t>
      </w:r>
      <w:r w:rsidR="00D0465D">
        <w:rPr>
          <w:szCs w:val="20"/>
        </w:rPr>
        <w:t>PQQ</w:t>
      </w:r>
      <w:r w:rsidR="00187298">
        <w:rPr>
          <w:szCs w:val="20"/>
        </w:rPr>
        <w:t xml:space="preserve"> response.</w:t>
      </w:r>
    </w:p>
    <w:p w14:paraId="0FF4839D" w14:textId="77777777" w:rsidR="00E16C26" w:rsidRDefault="00E16C26" w:rsidP="00311E73">
      <w:pPr>
        <w:jc w:val="both"/>
        <w:rPr>
          <w:szCs w:val="20"/>
        </w:rPr>
      </w:pPr>
    </w:p>
    <w:p w14:paraId="0FF4839E" w14:textId="77777777" w:rsidR="00D45EAE" w:rsidRDefault="00D45EAE" w:rsidP="00311E73">
      <w:pPr>
        <w:jc w:val="both"/>
        <w:rPr>
          <w:color w:val="000000"/>
          <w:szCs w:val="20"/>
        </w:rPr>
      </w:pPr>
      <w:r>
        <w:rPr>
          <w:color w:val="000000"/>
          <w:szCs w:val="20"/>
        </w:rPr>
        <w:t xml:space="preserve">All Potential </w:t>
      </w:r>
      <w:r w:rsidR="00187298">
        <w:rPr>
          <w:color w:val="000000"/>
          <w:szCs w:val="20"/>
        </w:rPr>
        <w:t>Applicants</w:t>
      </w:r>
      <w:r>
        <w:rPr>
          <w:color w:val="000000"/>
          <w:szCs w:val="20"/>
        </w:rPr>
        <w:t xml:space="preserve"> are responsible for identifying any information of a proprietary or confidential nature within their response in order that it may be handled properly.  </w:t>
      </w:r>
    </w:p>
    <w:p w14:paraId="0FF4839F" w14:textId="77777777" w:rsidR="001B736E" w:rsidRPr="00CB5017" w:rsidRDefault="001B736E" w:rsidP="00311E73">
      <w:pPr>
        <w:jc w:val="both"/>
        <w:rPr>
          <w:color w:val="000000"/>
          <w:szCs w:val="20"/>
        </w:rPr>
      </w:pPr>
    </w:p>
    <w:p w14:paraId="0FF483A0" w14:textId="321C3181" w:rsidR="00D45EAE" w:rsidRPr="00D41E50" w:rsidRDefault="00E22599" w:rsidP="008416BA">
      <w:pPr>
        <w:pStyle w:val="Heading2"/>
        <w:numPr>
          <w:ilvl w:val="1"/>
          <w:numId w:val="25"/>
        </w:numPr>
        <w:jc w:val="both"/>
      </w:pPr>
      <w:r>
        <w:t xml:space="preserve">  </w:t>
      </w:r>
      <w:bookmarkStart w:id="27" w:name="_Toc51581954"/>
      <w:r w:rsidR="00D45EAE">
        <w:t xml:space="preserve">Compliant </w:t>
      </w:r>
      <w:r w:rsidR="00D0465D">
        <w:t>PQQ</w:t>
      </w:r>
      <w:r w:rsidR="00187298">
        <w:t xml:space="preserve"> Responses</w:t>
      </w:r>
      <w:bookmarkEnd w:id="27"/>
    </w:p>
    <w:p w14:paraId="0FF483A1" w14:textId="77777777" w:rsidR="00186139" w:rsidRDefault="00D45EAE" w:rsidP="00311E73">
      <w:pPr>
        <w:jc w:val="both"/>
        <w:rPr>
          <w:szCs w:val="20"/>
        </w:rPr>
      </w:pPr>
      <w:r>
        <w:rPr>
          <w:szCs w:val="20"/>
        </w:rPr>
        <w:t>All requested fields, questions and attachments should be provided by th</w:t>
      </w:r>
      <w:r w:rsidR="00A36E2C">
        <w:rPr>
          <w:szCs w:val="20"/>
        </w:rPr>
        <w:t xml:space="preserve">e Potential </w:t>
      </w:r>
      <w:r w:rsidR="00187298">
        <w:rPr>
          <w:szCs w:val="20"/>
        </w:rPr>
        <w:t>Applicant</w:t>
      </w:r>
      <w:r w:rsidR="00A36E2C">
        <w:rPr>
          <w:szCs w:val="20"/>
        </w:rPr>
        <w:t>.  N</w:t>
      </w:r>
      <w:r>
        <w:rPr>
          <w:szCs w:val="20"/>
        </w:rPr>
        <w:t xml:space="preserve">o additional Attachments should be provided unless specifically requested by the Authority.  </w:t>
      </w:r>
      <w:r w:rsidR="00FF3A8F">
        <w:rPr>
          <w:szCs w:val="20"/>
        </w:rPr>
        <w:t>Please check the accuracy of your response</w:t>
      </w:r>
      <w:r w:rsidR="00790FCD" w:rsidRPr="00D41E50">
        <w:rPr>
          <w:szCs w:val="20"/>
        </w:rPr>
        <w:t xml:space="preserve"> prior to submission.  </w:t>
      </w:r>
    </w:p>
    <w:p w14:paraId="0FF483A2" w14:textId="77777777" w:rsidR="003F6616" w:rsidRDefault="003F6616" w:rsidP="00311E73">
      <w:pPr>
        <w:jc w:val="both"/>
        <w:rPr>
          <w:szCs w:val="20"/>
        </w:rPr>
      </w:pPr>
    </w:p>
    <w:p w14:paraId="0FF483A3" w14:textId="5779AB64" w:rsidR="003F6616" w:rsidRDefault="003F6616" w:rsidP="00311E73">
      <w:pPr>
        <w:jc w:val="both"/>
        <w:rPr>
          <w:szCs w:val="20"/>
        </w:rPr>
      </w:pPr>
      <w:r>
        <w:rPr>
          <w:szCs w:val="20"/>
        </w:rPr>
        <w:t>Non</w:t>
      </w:r>
      <w:r w:rsidR="00C93B47">
        <w:rPr>
          <w:szCs w:val="20"/>
        </w:rPr>
        <w:t>-</w:t>
      </w:r>
      <w:r>
        <w:rPr>
          <w:szCs w:val="20"/>
        </w:rPr>
        <w:t xml:space="preserve">compliant </w:t>
      </w:r>
      <w:r w:rsidR="00C93B47">
        <w:rPr>
          <w:szCs w:val="20"/>
        </w:rPr>
        <w:t>PQQ</w:t>
      </w:r>
      <w:r w:rsidR="002B7560">
        <w:rPr>
          <w:szCs w:val="20"/>
        </w:rPr>
        <w:t xml:space="preserve"> responses</w:t>
      </w:r>
      <w:r>
        <w:rPr>
          <w:szCs w:val="20"/>
        </w:rPr>
        <w:t xml:space="preserve">, at the sole discretion of the Authority, may be rejected and may not be included in any evaluation.  Any </w:t>
      </w:r>
      <w:r w:rsidR="00C93B47">
        <w:rPr>
          <w:szCs w:val="20"/>
        </w:rPr>
        <w:t>PQQ</w:t>
      </w:r>
      <w:r w:rsidR="002B7560">
        <w:rPr>
          <w:szCs w:val="20"/>
        </w:rPr>
        <w:t xml:space="preserve"> responses</w:t>
      </w:r>
      <w:r>
        <w:rPr>
          <w:szCs w:val="20"/>
        </w:rPr>
        <w:t xml:space="preserve"> that are submitted where questions, bid fields or requested information</w:t>
      </w:r>
      <w:r w:rsidR="009C3743">
        <w:rPr>
          <w:szCs w:val="20"/>
        </w:rPr>
        <w:t xml:space="preserve"> are</w:t>
      </w:r>
      <w:r>
        <w:rPr>
          <w:szCs w:val="20"/>
        </w:rPr>
        <w:t xml:space="preserve"> incomplete</w:t>
      </w:r>
      <w:r w:rsidR="009C3743">
        <w:rPr>
          <w:szCs w:val="20"/>
        </w:rPr>
        <w:t xml:space="preserve"> </w:t>
      </w:r>
      <w:r>
        <w:rPr>
          <w:szCs w:val="20"/>
        </w:rPr>
        <w:t xml:space="preserve">may be deemed to be </w:t>
      </w:r>
      <w:proofErr w:type="spellStart"/>
      <w:r>
        <w:rPr>
          <w:szCs w:val="20"/>
        </w:rPr>
        <w:t>non compliant</w:t>
      </w:r>
      <w:proofErr w:type="spellEnd"/>
      <w:r>
        <w:rPr>
          <w:szCs w:val="20"/>
        </w:rPr>
        <w:t xml:space="preserve"> and may not be considered in the evaluation.</w:t>
      </w:r>
    </w:p>
    <w:p w14:paraId="0FF483A4" w14:textId="77777777" w:rsidR="00207CD5" w:rsidRDefault="00207CD5" w:rsidP="00311E73">
      <w:pPr>
        <w:jc w:val="both"/>
        <w:rPr>
          <w:szCs w:val="20"/>
        </w:rPr>
      </w:pPr>
    </w:p>
    <w:p w14:paraId="0FF483A5" w14:textId="46F9B395" w:rsidR="00207CD5" w:rsidRPr="00501D01" w:rsidRDefault="00207CD5" w:rsidP="00311E73">
      <w:pPr>
        <w:jc w:val="both"/>
        <w:rPr>
          <w:szCs w:val="20"/>
        </w:rPr>
      </w:pPr>
      <w:r w:rsidRPr="00501D01">
        <w:rPr>
          <w:szCs w:val="20"/>
        </w:rPr>
        <w:t xml:space="preserve">The Authority shall exclude a Potential Applicant from participating in an Invitation to Tender event if they have been convicted of any of the offences prescribed under Section 58 of the Public Contracts (Scotland) Regulations 2015 </w:t>
      </w:r>
      <w:r w:rsidR="00501D01" w:rsidRPr="00501D01">
        <w:rPr>
          <w:szCs w:val="20"/>
        </w:rPr>
        <w:t>as allowed under</w:t>
      </w:r>
      <w:r w:rsidR="00ED27FC" w:rsidRPr="00501D01">
        <w:rPr>
          <w:szCs w:val="20"/>
        </w:rPr>
        <w:t xml:space="preserve"> the Utilities Contracts Regulations (Scotland) 2016).  The Potential Applicant shall provide a statement confirming whether they have been convicted of any of the offences listed under both the mandatory and discretionary offences. </w:t>
      </w:r>
    </w:p>
    <w:p w14:paraId="0FF483A6" w14:textId="5C2C7C25" w:rsidR="00186139" w:rsidRDefault="00186139" w:rsidP="00311E73">
      <w:pPr>
        <w:jc w:val="both"/>
        <w:rPr>
          <w:szCs w:val="20"/>
        </w:rPr>
      </w:pPr>
    </w:p>
    <w:p w14:paraId="31A37C4C" w14:textId="24230C24" w:rsidR="00413CE2" w:rsidRDefault="00413CE2" w:rsidP="00311E73">
      <w:pPr>
        <w:jc w:val="both"/>
        <w:rPr>
          <w:szCs w:val="20"/>
        </w:rPr>
      </w:pPr>
      <w:r w:rsidRPr="00413CE2">
        <w:rPr>
          <w:szCs w:val="20"/>
        </w:rPr>
        <w:t>The Authority shall exclude a Potential Supplier from participating in an Invitation to Tender event if they submit a PQQ response where they have answered “No” to any of the Pre-requisite questions in “Attachment 002 – Pre-qualification Questionnaire and Evaluation Criteria</w:t>
      </w:r>
      <w:r w:rsidR="00CA039B">
        <w:rPr>
          <w:szCs w:val="20"/>
        </w:rPr>
        <w:t>”</w:t>
      </w:r>
      <w:r w:rsidR="005619EC">
        <w:rPr>
          <w:szCs w:val="20"/>
        </w:rPr>
        <w:t xml:space="preserve"> </w:t>
      </w:r>
      <w:proofErr w:type="gramStart"/>
      <w:r w:rsidR="00D55D2C">
        <w:rPr>
          <w:szCs w:val="20"/>
        </w:rPr>
        <w:t xml:space="preserve">or </w:t>
      </w:r>
      <w:r w:rsidR="005619EC">
        <w:rPr>
          <w:szCs w:val="20"/>
        </w:rPr>
        <w:t xml:space="preserve"> </w:t>
      </w:r>
      <w:r w:rsidR="00641E95">
        <w:rPr>
          <w:szCs w:val="20"/>
        </w:rPr>
        <w:t>their</w:t>
      </w:r>
      <w:proofErr w:type="gramEnd"/>
      <w:r w:rsidR="00641E95">
        <w:rPr>
          <w:szCs w:val="20"/>
        </w:rPr>
        <w:t xml:space="preserve"> total evaluated score</w:t>
      </w:r>
      <w:r w:rsidR="00CA039B">
        <w:rPr>
          <w:szCs w:val="20"/>
        </w:rPr>
        <w:t>.</w:t>
      </w:r>
      <w:r w:rsidR="00D55D2C">
        <w:rPr>
          <w:szCs w:val="20"/>
        </w:rPr>
        <w:t xml:space="preserve"> Is less than 50 out of 100.</w:t>
      </w:r>
    </w:p>
    <w:p w14:paraId="48604C64" w14:textId="77777777" w:rsidR="00CA039B" w:rsidRDefault="00CA039B" w:rsidP="00311E73">
      <w:pPr>
        <w:jc w:val="both"/>
        <w:rPr>
          <w:szCs w:val="20"/>
        </w:rPr>
      </w:pPr>
    </w:p>
    <w:p w14:paraId="0FF483A7" w14:textId="24E6353E" w:rsidR="00FF3A8F" w:rsidRDefault="00186139" w:rsidP="00311E73">
      <w:pPr>
        <w:jc w:val="both"/>
        <w:rPr>
          <w:szCs w:val="20"/>
        </w:rPr>
      </w:pPr>
      <w:r w:rsidRPr="00A668A9">
        <w:rPr>
          <w:szCs w:val="20"/>
        </w:rPr>
        <w:t xml:space="preserve">For details on how to complete the fields, questions and upload Attachments in Emptoris, please review Attachment </w:t>
      </w:r>
      <w:r w:rsidR="002B7560" w:rsidRPr="00A668A9">
        <w:rPr>
          <w:szCs w:val="20"/>
        </w:rPr>
        <w:t>00</w:t>
      </w:r>
      <w:r w:rsidR="00A668A9" w:rsidRPr="00A668A9">
        <w:rPr>
          <w:szCs w:val="20"/>
        </w:rPr>
        <w:t>7</w:t>
      </w:r>
      <w:r w:rsidRPr="00A668A9">
        <w:rPr>
          <w:szCs w:val="20"/>
        </w:rPr>
        <w:t xml:space="preserve"> to this </w:t>
      </w:r>
      <w:r w:rsidR="002B7560" w:rsidRPr="00A668A9">
        <w:rPr>
          <w:szCs w:val="20"/>
        </w:rPr>
        <w:t>RFI</w:t>
      </w:r>
      <w:r w:rsidRPr="00A668A9">
        <w:rPr>
          <w:szCs w:val="20"/>
        </w:rPr>
        <w:t xml:space="preserve"> for advice.  I you still hav</w:t>
      </w:r>
      <w:r w:rsidR="002B7560" w:rsidRPr="00A668A9">
        <w:rPr>
          <w:szCs w:val="20"/>
        </w:rPr>
        <w:t>e a query please contact the RFI</w:t>
      </w:r>
      <w:r w:rsidRPr="00A668A9">
        <w:rPr>
          <w:szCs w:val="20"/>
        </w:rPr>
        <w:t xml:space="preserve"> lead for further information.</w:t>
      </w:r>
    </w:p>
    <w:p w14:paraId="0FF483A8" w14:textId="77777777" w:rsidR="00A36E2C" w:rsidRDefault="00A36E2C" w:rsidP="00311E73">
      <w:pPr>
        <w:jc w:val="both"/>
        <w:rPr>
          <w:szCs w:val="20"/>
        </w:rPr>
      </w:pPr>
    </w:p>
    <w:p w14:paraId="0FF483A9" w14:textId="5B16AC7A" w:rsidR="00D45EAE" w:rsidRDefault="00E22599" w:rsidP="008416BA">
      <w:pPr>
        <w:pStyle w:val="Heading2"/>
        <w:numPr>
          <w:ilvl w:val="1"/>
          <w:numId w:val="25"/>
        </w:numPr>
        <w:jc w:val="both"/>
      </w:pPr>
      <w:r>
        <w:t xml:space="preserve">  </w:t>
      </w:r>
      <w:bookmarkStart w:id="28" w:name="_Toc51581955"/>
      <w:r w:rsidR="00716FE8">
        <w:t>PQQ</w:t>
      </w:r>
      <w:r w:rsidR="00D45EAE">
        <w:t xml:space="preserve"> Closing</w:t>
      </w:r>
      <w:r w:rsidR="00394375">
        <w:t xml:space="preserve"> Date</w:t>
      </w:r>
      <w:bookmarkEnd w:id="28"/>
    </w:p>
    <w:p w14:paraId="39AF179D" w14:textId="039D67EF" w:rsidR="000F4997" w:rsidRPr="000F4997" w:rsidRDefault="000F4997" w:rsidP="000F4997">
      <w:pPr>
        <w:pStyle w:val="ListParagraph"/>
        <w:ind w:left="360"/>
        <w:jc w:val="both"/>
        <w:rPr>
          <w:szCs w:val="20"/>
        </w:rPr>
      </w:pPr>
      <w:r w:rsidRPr="000F4997">
        <w:rPr>
          <w:szCs w:val="20"/>
        </w:rPr>
        <w:t xml:space="preserve">The </w:t>
      </w:r>
      <w:proofErr w:type="gramStart"/>
      <w:r>
        <w:rPr>
          <w:szCs w:val="20"/>
        </w:rPr>
        <w:t xml:space="preserve">PQQ </w:t>
      </w:r>
      <w:r w:rsidRPr="000F4997">
        <w:rPr>
          <w:szCs w:val="20"/>
        </w:rPr>
        <w:t xml:space="preserve"> closing</w:t>
      </w:r>
      <w:proofErr w:type="gramEnd"/>
      <w:r w:rsidRPr="000F4997">
        <w:rPr>
          <w:szCs w:val="20"/>
        </w:rPr>
        <w:t xml:space="preserve"> time and date within Emptoris is fixed and firm.  </w:t>
      </w:r>
    </w:p>
    <w:p w14:paraId="0FF483AB" w14:textId="77777777" w:rsidR="00EE686C" w:rsidRDefault="00EE686C" w:rsidP="00311E73">
      <w:pPr>
        <w:jc w:val="both"/>
        <w:rPr>
          <w:szCs w:val="20"/>
        </w:rPr>
      </w:pPr>
    </w:p>
    <w:p w14:paraId="0FF483AC" w14:textId="2CCA6CD0" w:rsidR="00EE686C" w:rsidRPr="00EE686C" w:rsidRDefault="00FF3A8F" w:rsidP="00311E73">
      <w:pPr>
        <w:jc w:val="both"/>
        <w:rPr>
          <w:b/>
          <w:caps/>
          <w:szCs w:val="20"/>
          <w:u w:val="single"/>
        </w:rPr>
      </w:pPr>
      <w:r w:rsidRPr="00EE686C">
        <w:rPr>
          <w:b/>
          <w:caps/>
          <w:szCs w:val="20"/>
          <w:u w:val="single"/>
        </w:rPr>
        <w:t>In the event that a</w:t>
      </w:r>
      <w:r w:rsidR="00394375">
        <w:rPr>
          <w:b/>
          <w:caps/>
          <w:szCs w:val="20"/>
          <w:u w:val="single"/>
        </w:rPr>
        <w:t xml:space="preserve">N </w:t>
      </w:r>
      <w:r w:rsidR="008160A4">
        <w:rPr>
          <w:b/>
          <w:caps/>
          <w:szCs w:val="20"/>
          <w:u w:val="single"/>
        </w:rPr>
        <w:t>PQQ</w:t>
      </w:r>
      <w:r w:rsidR="00394375">
        <w:rPr>
          <w:b/>
          <w:caps/>
          <w:szCs w:val="20"/>
          <w:u w:val="single"/>
        </w:rPr>
        <w:t xml:space="preserve"> </w:t>
      </w:r>
      <w:r w:rsidRPr="00EE686C">
        <w:rPr>
          <w:b/>
          <w:caps/>
          <w:szCs w:val="20"/>
          <w:u w:val="single"/>
        </w:rPr>
        <w:t xml:space="preserve">submission is late, the Authority will not accept the late submission.  </w:t>
      </w:r>
    </w:p>
    <w:p w14:paraId="0FF483AD" w14:textId="77777777" w:rsidR="00EE686C" w:rsidRDefault="00EE686C" w:rsidP="00311E73">
      <w:pPr>
        <w:jc w:val="both"/>
        <w:rPr>
          <w:szCs w:val="20"/>
        </w:rPr>
      </w:pPr>
    </w:p>
    <w:p w14:paraId="0FF483AE" w14:textId="718692D8" w:rsidR="00FF3A8F" w:rsidRDefault="00335060" w:rsidP="00311E73">
      <w:pPr>
        <w:jc w:val="both"/>
        <w:rPr>
          <w:szCs w:val="20"/>
        </w:rPr>
      </w:pPr>
      <w:r>
        <w:rPr>
          <w:szCs w:val="20"/>
        </w:rPr>
        <w:t xml:space="preserve">All responses in “draft” in the system will be automatically submitted at the deadline to the Authority. </w:t>
      </w:r>
      <w:r w:rsidR="00186139">
        <w:rPr>
          <w:szCs w:val="20"/>
        </w:rPr>
        <w:t xml:space="preserve">Please ensure that you prepare and complete your </w:t>
      </w:r>
      <w:r w:rsidR="00394375">
        <w:rPr>
          <w:szCs w:val="20"/>
        </w:rPr>
        <w:t>response</w:t>
      </w:r>
      <w:r w:rsidR="00186139">
        <w:rPr>
          <w:szCs w:val="20"/>
        </w:rPr>
        <w:t xml:space="preserve"> in the Emptoris system in </w:t>
      </w:r>
      <w:proofErr w:type="gramStart"/>
      <w:r w:rsidR="00186139">
        <w:rPr>
          <w:szCs w:val="20"/>
        </w:rPr>
        <w:t>sufficient</w:t>
      </w:r>
      <w:proofErr w:type="gramEnd"/>
      <w:r w:rsidR="00186139">
        <w:rPr>
          <w:szCs w:val="20"/>
        </w:rPr>
        <w:t xml:space="preserve"> time prior to the submission deadline</w:t>
      </w:r>
      <w:r w:rsidR="009C3743">
        <w:rPr>
          <w:szCs w:val="20"/>
        </w:rPr>
        <w:t>, including time for uploading</w:t>
      </w:r>
      <w:r w:rsidR="00186139">
        <w:rPr>
          <w:szCs w:val="20"/>
        </w:rPr>
        <w:t>.</w:t>
      </w:r>
      <w:r w:rsidR="009C3743">
        <w:rPr>
          <w:szCs w:val="20"/>
        </w:rPr>
        <w:t xml:space="preserve">  The Authority accepts no responsibility for the late submission of any </w:t>
      </w:r>
      <w:r w:rsidR="00394375">
        <w:rPr>
          <w:szCs w:val="20"/>
        </w:rPr>
        <w:t>responses</w:t>
      </w:r>
      <w:r w:rsidR="009C3743">
        <w:rPr>
          <w:szCs w:val="20"/>
        </w:rPr>
        <w:t>.</w:t>
      </w:r>
      <w:r w:rsidR="00186139">
        <w:rPr>
          <w:szCs w:val="20"/>
        </w:rPr>
        <w:t xml:space="preserve">  </w:t>
      </w:r>
    </w:p>
    <w:p w14:paraId="0FF483AF" w14:textId="77777777" w:rsidR="00335060" w:rsidRDefault="00335060" w:rsidP="00311E73">
      <w:pPr>
        <w:jc w:val="both"/>
        <w:rPr>
          <w:szCs w:val="20"/>
        </w:rPr>
      </w:pPr>
    </w:p>
    <w:p w14:paraId="0FF483B0" w14:textId="47411789" w:rsidR="00335060" w:rsidRDefault="00335060" w:rsidP="00311E73">
      <w:pPr>
        <w:jc w:val="both"/>
        <w:rPr>
          <w:szCs w:val="20"/>
        </w:rPr>
      </w:pPr>
      <w:r>
        <w:rPr>
          <w:szCs w:val="20"/>
        </w:rPr>
        <w:t xml:space="preserve">If you feel that you cannot meet the deadline and would like to request that this is extended, please contact the </w:t>
      </w:r>
      <w:r w:rsidR="008160A4">
        <w:rPr>
          <w:szCs w:val="20"/>
        </w:rPr>
        <w:t>PQQ</w:t>
      </w:r>
      <w:r>
        <w:rPr>
          <w:szCs w:val="20"/>
        </w:rPr>
        <w:t xml:space="preserve"> lead</w:t>
      </w:r>
      <w:r w:rsidR="008160A4">
        <w:rPr>
          <w:szCs w:val="20"/>
        </w:rPr>
        <w:t xml:space="preserve"> </w:t>
      </w:r>
      <w:r w:rsidRPr="009F27F5">
        <w:rPr>
          <w:szCs w:val="20"/>
        </w:rPr>
        <w:t>via Emptoris messaging</w:t>
      </w:r>
      <w:r>
        <w:rPr>
          <w:szCs w:val="20"/>
        </w:rPr>
        <w:t xml:space="preserve"> and request and extension to the </w:t>
      </w:r>
      <w:r w:rsidR="008160A4">
        <w:rPr>
          <w:szCs w:val="20"/>
        </w:rPr>
        <w:t>PQQ</w:t>
      </w:r>
      <w:r w:rsidR="00394375">
        <w:rPr>
          <w:szCs w:val="20"/>
        </w:rPr>
        <w:t xml:space="preserve"> submission</w:t>
      </w:r>
      <w:r>
        <w:rPr>
          <w:szCs w:val="20"/>
        </w:rPr>
        <w:t xml:space="preserve"> deadline with details on why you believe that this is required.  The </w:t>
      </w:r>
      <w:r w:rsidR="008160A4">
        <w:rPr>
          <w:szCs w:val="20"/>
        </w:rPr>
        <w:t>PQQ</w:t>
      </w:r>
      <w:r>
        <w:rPr>
          <w:szCs w:val="20"/>
        </w:rPr>
        <w:t xml:space="preserve"> lead will then contact you to confirm or otherwise the extension to the </w:t>
      </w:r>
      <w:r w:rsidR="008160A4">
        <w:rPr>
          <w:szCs w:val="20"/>
        </w:rPr>
        <w:t>PQQ</w:t>
      </w:r>
      <w:r>
        <w:rPr>
          <w:szCs w:val="20"/>
        </w:rPr>
        <w:t xml:space="preserve"> closing date.  </w:t>
      </w:r>
    </w:p>
    <w:p w14:paraId="0FF483B1" w14:textId="77777777" w:rsidR="007B60BD" w:rsidRDefault="007B60BD" w:rsidP="00311E73">
      <w:pPr>
        <w:jc w:val="both"/>
        <w:rPr>
          <w:szCs w:val="20"/>
        </w:rPr>
      </w:pPr>
    </w:p>
    <w:p w14:paraId="0FF483B2" w14:textId="530378B5" w:rsidR="005D0FF0" w:rsidRDefault="007B60BD" w:rsidP="00311E73">
      <w:pPr>
        <w:jc w:val="both"/>
        <w:rPr>
          <w:szCs w:val="20"/>
        </w:rPr>
      </w:pPr>
      <w:r>
        <w:rPr>
          <w:szCs w:val="20"/>
        </w:rPr>
        <w:t>Once a</w:t>
      </w:r>
      <w:r w:rsidR="00394375">
        <w:rPr>
          <w:szCs w:val="20"/>
        </w:rPr>
        <w:t xml:space="preserve">n </w:t>
      </w:r>
      <w:r w:rsidR="008160A4">
        <w:rPr>
          <w:szCs w:val="20"/>
        </w:rPr>
        <w:t>PQQ</w:t>
      </w:r>
      <w:r w:rsidR="00394375">
        <w:rPr>
          <w:szCs w:val="20"/>
        </w:rPr>
        <w:t xml:space="preserve"> response</w:t>
      </w:r>
      <w:r>
        <w:rPr>
          <w:szCs w:val="20"/>
        </w:rPr>
        <w:t xml:space="preserve"> is submitted, it is deemed to have been submitted on behalf of the Potential </w:t>
      </w:r>
      <w:r w:rsidR="00394375">
        <w:rPr>
          <w:szCs w:val="20"/>
        </w:rPr>
        <w:t>Applicant</w:t>
      </w:r>
      <w:r>
        <w:rPr>
          <w:szCs w:val="20"/>
        </w:rPr>
        <w:t xml:space="preserve"> by a person authorised to commit the Potential </w:t>
      </w:r>
      <w:r w:rsidR="00394375">
        <w:rPr>
          <w:szCs w:val="20"/>
        </w:rPr>
        <w:t>Applicant</w:t>
      </w:r>
      <w:r>
        <w:rPr>
          <w:szCs w:val="20"/>
        </w:rPr>
        <w:t xml:space="preserve"> to the </w:t>
      </w:r>
      <w:r w:rsidR="008160A4">
        <w:rPr>
          <w:szCs w:val="20"/>
        </w:rPr>
        <w:t>PQQ</w:t>
      </w:r>
      <w:r>
        <w:rPr>
          <w:szCs w:val="20"/>
        </w:rPr>
        <w:t xml:space="preserve"> submission</w:t>
      </w:r>
      <w:r w:rsidR="009C3743">
        <w:rPr>
          <w:szCs w:val="20"/>
        </w:rPr>
        <w:t xml:space="preserve"> and submissions cannot be modified after the closing time.</w:t>
      </w:r>
    </w:p>
    <w:p w14:paraId="0FF483B3" w14:textId="77777777" w:rsidR="00A36E2C" w:rsidRPr="00D41E50" w:rsidRDefault="00A36E2C" w:rsidP="00311E73">
      <w:pPr>
        <w:jc w:val="both"/>
        <w:rPr>
          <w:szCs w:val="20"/>
        </w:rPr>
      </w:pPr>
    </w:p>
    <w:p w14:paraId="0FF483B4" w14:textId="77777777" w:rsidR="00A36E2C" w:rsidRPr="009C3743" w:rsidRDefault="00A36E2C" w:rsidP="00311E73">
      <w:pPr>
        <w:jc w:val="both"/>
        <w:rPr>
          <w:szCs w:val="20"/>
        </w:rPr>
      </w:pPr>
    </w:p>
    <w:p w14:paraId="0FF483B5" w14:textId="1A0F7795" w:rsidR="00311D7F" w:rsidRDefault="00E22599" w:rsidP="008416BA">
      <w:pPr>
        <w:pStyle w:val="Heading2"/>
        <w:numPr>
          <w:ilvl w:val="1"/>
          <w:numId w:val="25"/>
        </w:numPr>
        <w:jc w:val="both"/>
      </w:pPr>
      <w:r>
        <w:t xml:space="preserve">  </w:t>
      </w:r>
      <w:bookmarkStart w:id="29" w:name="_Toc51581956"/>
      <w:r w:rsidR="00311D7F" w:rsidRPr="00D41E50">
        <w:t xml:space="preserve">Cancellation </w:t>
      </w:r>
      <w:r w:rsidR="00A413C9">
        <w:t>or Amendment to</w:t>
      </w:r>
      <w:r w:rsidR="00311D7F" w:rsidRPr="00D41E50">
        <w:t xml:space="preserve"> the </w:t>
      </w:r>
      <w:r w:rsidR="003E3DDC">
        <w:t>PQQ</w:t>
      </w:r>
      <w:bookmarkEnd w:id="29"/>
    </w:p>
    <w:p w14:paraId="0FF483B6" w14:textId="71B99501" w:rsidR="00A413C9" w:rsidRPr="00A413C9" w:rsidRDefault="00A413C9" w:rsidP="00311E73">
      <w:pPr>
        <w:jc w:val="both"/>
        <w:rPr>
          <w:szCs w:val="20"/>
        </w:rPr>
      </w:pPr>
      <w:r>
        <w:rPr>
          <w:szCs w:val="20"/>
        </w:rPr>
        <w:t xml:space="preserve">The Authority reserves the right to cancel or amend the </w:t>
      </w:r>
      <w:r w:rsidR="003E3DDC">
        <w:rPr>
          <w:szCs w:val="20"/>
        </w:rPr>
        <w:t>PQQ</w:t>
      </w:r>
      <w:r>
        <w:rPr>
          <w:szCs w:val="20"/>
        </w:rPr>
        <w:t xml:space="preserve"> at any time for any reason.</w:t>
      </w:r>
    </w:p>
    <w:p w14:paraId="0FF483B7" w14:textId="77777777" w:rsidR="00070643" w:rsidRPr="00070643" w:rsidRDefault="00070643" w:rsidP="00311E73">
      <w:pPr>
        <w:jc w:val="both"/>
        <w:rPr>
          <w:b/>
        </w:rPr>
      </w:pPr>
    </w:p>
    <w:p w14:paraId="52DC7842" w14:textId="64F63BBF" w:rsidR="00D759D0" w:rsidRDefault="00DF7C4A" w:rsidP="00D759D0">
      <w:pPr>
        <w:pStyle w:val="Heading2"/>
        <w:numPr>
          <w:ilvl w:val="1"/>
          <w:numId w:val="25"/>
        </w:numPr>
        <w:jc w:val="both"/>
      </w:pPr>
      <w:bookmarkStart w:id="30" w:name="_Toc51581957"/>
      <w:r w:rsidRPr="00D759D0">
        <w:t>Timetable</w:t>
      </w:r>
      <w:bookmarkEnd w:id="30"/>
    </w:p>
    <w:p w14:paraId="555EFC01" w14:textId="37F6A89A" w:rsidR="00D759D0" w:rsidRDefault="00D759D0" w:rsidP="00D759D0"/>
    <w:p w14:paraId="0CAEE78D" w14:textId="77777777" w:rsidR="00D759D0" w:rsidRPr="00573E0F" w:rsidRDefault="00D759D0" w:rsidP="00573E0F">
      <w:pPr>
        <w:jc w:val="both"/>
        <w:rPr>
          <w:szCs w:val="20"/>
        </w:rPr>
      </w:pPr>
    </w:p>
    <w:tbl>
      <w:tblPr>
        <w:tblStyle w:val="TableGrid"/>
        <w:tblW w:w="0" w:type="auto"/>
        <w:tblInd w:w="360" w:type="dxa"/>
        <w:tblLook w:val="04A0" w:firstRow="1" w:lastRow="0" w:firstColumn="1" w:lastColumn="0" w:noHBand="0" w:noVBand="1"/>
      </w:tblPr>
      <w:tblGrid>
        <w:gridCol w:w="2470"/>
        <w:gridCol w:w="5466"/>
      </w:tblGrid>
      <w:tr w:rsidR="00D759D0" w:rsidRPr="00652F90" w14:paraId="4C7ABF8D" w14:textId="77777777" w:rsidTr="00D759D0">
        <w:tc>
          <w:tcPr>
            <w:tcW w:w="2470" w:type="dxa"/>
          </w:tcPr>
          <w:p w14:paraId="79F32989" w14:textId="0EE80059" w:rsidR="00D759D0" w:rsidRPr="00652F90" w:rsidRDefault="00D759D0" w:rsidP="00573E0F">
            <w:pPr>
              <w:jc w:val="both"/>
              <w:rPr>
                <w:b/>
                <w:i/>
                <w:szCs w:val="20"/>
              </w:rPr>
            </w:pPr>
            <w:r w:rsidRPr="00652F90">
              <w:rPr>
                <w:b/>
                <w:i/>
                <w:szCs w:val="20"/>
              </w:rPr>
              <w:t>Date</w:t>
            </w:r>
          </w:p>
        </w:tc>
        <w:tc>
          <w:tcPr>
            <w:tcW w:w="5466" w:type="dxa"/>
          </w:tcPr>
          <w:p w14:paraId="008D6C27" w14:textId="1C1F4233" w:rsidR="00D759D0" w:rsidRPr="00652F90" w:rsidRDefault="00D759D0" w:rsidP="00573E0F">
            <w:pPr>
              <w:jc w:val="both"/>
              <w:rPr>
                <w:b/>
                <w:i/>
                <w:szCs w:val="20"/>
              </w:rPr>
            </w:pPr>
            <w:r w:rsidRPr="00652F90">
              <w:rPr>
                <w:b/>
                <w:i/>
                <w:szCs w:val="20"/>
              </w:rPr>
              <w:t>Activity</w:t>
            </w:r>
          </w:p>
        </w:tc>
      </w:tr>
      <w:tr w:rsidR="00D759D0" w:rsidRPr="00652F90" w14:paraId="27110024" w14:textId="77777777" w:rsidTr="00D759D0">
        <w:tc>
          <w:tcPr>
            <w:tcW w:w="2470" w:type="dxa"/>
          </w:tcPr>
          <w:p w14:paraId="1C136496" w14:textId="3598D7E9" w:rsidR="00D759D0" w:rsidRPr="00652F90" w:rsidRDefault="00724F6C" w:rsidP="00573E0F">
            <w:pPr>
              <w:jc w:val="both"/>
              <w:rPr>
                <w:szCs w:val="20"/>
              </w:rPr>
            </w:pPr>
            <w:r w:rsidRPr="00652F90">
              <w:rPr>
                <w:szCs w:val="20"/>
              </w:rPr>
              <w:t>24 September, 2020</w:t>
            </w:r>
          </w:p>
        </w:tc>
        <w:tc>
          <w:tcPr>
            <w:tcW w:w="5466" w:type="dxa"/>
          </w:tcPr>
          <w:p w14:paraId="2F067DB3" w14:textId="72BB9C2D" w:rsidR="00D759D0" w:rsidRPr="00652F90" w:rsidRDefault="00D759D0" w:rsidP="00573E0F">
            <w:pPr>
              <w:jc w:val="both"/>
              <w:rPr>
                <w:szCs w:val="20"/>
              </w:rPr>
            </w:pPr>
            <w:r w:rsidRPr="00652F90">
              <w:rPr>
                <w:szCs w:val="20"/>
              </w:rPr>
              <w:t>Publish Contract Notice in OJEU</w:t>
            </w:r>
          </w:p>
        </w:tc>
      </w:tr>
      <w:tr w:rsidR="0057327A" w:rsidRPr="00573E0F" w14:paraId="24DFC1E0" w14:textId="77777777" w:rsidTr="00D759D0">
        <w:tc>
          <w:tcPr>
            <w:tcW w:w="2470" w:type="dxa"/>
          </w:tcPr>
          <w:p w14:paraId="7C432D9E" w14:textId="61FB0F01" w:rsidR="0057327A" w:rsidRPr="00652F90" w:rsidRDefault="007D4B1B" w:rsidP="00573E0F">
            <w:pPr>
              <w:jc w:val="both"/>
              <w:rPr>
                <w:szCs w:val="20"/>
              </w:rPr>
            </w:pPr>
            <w:r w:rsidRPr="00652F90">
              <w:rPr>
                <w:szCs w:val="20"/>
              </w:rPr>
              <w:t>26 October, 2020</w:t>
            </w:r>
          </w:p>
        </w:tc>
        <w:tc>
          <w:tcPr>
            <w:tcW w:w="5466" w:type="dxa"/>
          </w:tcPr>
          <w:p w14:paraId="383A0507" w14:textId="7A6F114C" w:rsidR="0057327A" w:rsidRPr="00573E0F" w:rsidRDefault="0057327A" w:rsidP="00573E0F">
            <w:pPr>
              <w:jc w:val="both"/>
              <w:rPr>
                <w:szCs w:val="20"/>
              </w:rPr>
            </w:pPr>
            <w:r w:rsidRPr="00652F90">
              <w:rPr>
                <w:szCs w:val="20"/>
              </w:rPr>
              <w:t xml:space="preserve">Closing date for Potential </w:t>
            </w:r>
            <w:r w:rsidR="007E55B4" w:rsidRPr="00652F90">
              <w:rPr>
                <w:szCs w:val="20"/>
              </w:rPr>
              <w:t>Applicant</w:t>
            </w:r>
            <w:r w:rsidR="006871F4" w:rsidRPr="00652F90">
              <w:rPr>
                <w:szCs w:val="20"/>
              </w:rPr>
              <w:t>s</w:t>
            </w:r>
            <w:r w:rsidRPr="00652F90">
              <w:rPr>
                <w:szCs w:val="20"/>
              </w:rPr>
              <w:t xml:space="preserve"> PQQ response</w:t>
            </w:r>
          </w:p>
        </w:tc>
      </w:tr>
    </w:tbl>
    <w:p w14:paraId="0FF483B8" w14:textId="1394E9DD" w:rsidR="00853419" w:rsidRPr="00573E0F" w:rsidRDefault="00853419" w:rsidP="00573E0F">
      <w:pPr>
        <w:jc w:val="both"/>
        <w:rPr>
          <w:szCs w:val="20"/>
        </w:rPr>
      </w:pPr>
      <w:r w:rsidRPr="00573E0F">
        <w:rPr>
          <w:szCs w:val="20"/>
        </w:rPr>
        <w:br w:type="page"/>
      </w:r>
      <w:bookmarkStart w:id="31" w:name="_GoBack"/>
      <w:bookmarkEnd w:id="31"/>
    </w:p>
    <w:p w14:paraId="0FF483B9" w14:textId="3B1A94F2" w:rsidR="00853419" w:rsidRDefault="00853419" w:rsidP="00311E73">
      <w:pPr>
        <w:jc w:val="both"/>
        <w:rPr>
          <w:szCs w:val="20"/>
        </w:rPr>
      </w:pPr>
      <w:r>
        <w:rPr>
          <w:szCs w:val="20"/>
        </w:rPr>
        <w:lastRenderedPageBreak/>
        <w:t xml:space="preserve">Attachments contained in the </w:t>
      </w:r>
      <w:r w:rsidR="003E3DDC">
        <w:rPr>
          <w:szCs w:val="20"/>
        </w:rPr>
        <w:t>PQQ</w:t>
      </w:r>
      <w:r>
        <w:rPr>
          <w:szCs w:val="20"/>
        </w:rPr>
        <w:t xml:space="preserve"> Attachments folder relating to this event:</w:t>
      </w:r>
    </w:p>
    <w:p w14:paraId="0FF483BA" w14:textId="77777777" w:rsidR="00853419" w:rsidRDefault="00853419" w:rsidP="00311E73">
      <w:pPr>
        <w:jc w:val="both"/>
        <w:rPr>
          <w:szCs w:val="20"/>
        </w:rPr>
      </w:pPr>
    </w:p>
    <w:p w14:paraId="55255516" w14:textId="5B80FC66" w:rsidR="003E3DDC" w:rsidRPr="00EE4C41" w:rsidRDefault="003E3DDC" w:rsidP="00EE4C41">
      <w:pPr>
        <w:jc w:val="both"/>
        <w:rPr>
          <w:szCs w:val="20"/>
        </w:rPr>
      </w:pPr>
      <w:r w:rsidRPr="00EE4C41">
        <w:rPr>
          <w:szCs w:val="20"/>
        </w:rPr>
        <w:t>Instructions to Potential Suppliers</w:t>
      </w:r>
    </w:p>
    <w:p w14:paraId="0FF483BB" w14:textId="15AE2746" w:rsidR="00B65FA6" w:rsidRPr="00EE4C41" w:rsidRDefault="00853419" w:rsidP="00EE4C41">
      <w:pPr>
        <w:jc w:val="both"/>
        <w:rPr>
          <w:szCs w:val="20"/>
        </w:rPr>
      </w:pPr>
      <w:r w:rsidRPr="00EE4C41">
        <w:rPr>
          <w:szCs w:val="20"/>
        </w:rPr>
        <w:t xml:space="preserve">Attachment </w:t>
      </w:r>
      <w:r w:rsidR="00EE686C" w:rsidRPr="00EE4C41">
        <w:rPr>
          <w:szCs w:val="20"/>
        </w:rPr>
        <w:t>00</w:t>
      </w:r>
      <w:r w:rsidRPr="00EE4C41">
        <w:rPr>
          <w:szCs w:val="20"/>
        </w:rPr>
        <w:t xml:space="preserve">1 – </w:t>
      </w:r>
      <w:r w:rsidR="00B65FA6" w:rsidRPr="00EE4C41">
        <w:rPr>
          <w:szCs w:val="20"/>
        </w:rPr>
        <w:t>Glossary of Terms</w:t>
      </w:r>
    </w:p>
    <w:p w14:paraId="0FF483BC" w14:textId="522AABDA" w:rsidR="00EE686C" w:rsidRPr="00EE4C41" w:rsidRDefault="00853419" w:rsidP="00EE4C41">
      <w:pPr>
        <w:jc w:val="both"/>
        <w:rPr>
          <w:szCs w:val="20"/>
        </w:rPr>
      </w:pPr>
      <w:r w:rsidRPr="00EE4C41">
        <w:rPr>
          <w:szCs w:val="20"/>
        </w:rPr>
        <w:t xml:space="preserve">Attachment </w:t>
      </w:r>
      <w:r w:rsidR="00EE686C" w:rsidRPr="00EE4C41">
        <w:rPr>
          <w:szCs w:val="20"/>
        </w:rPr>
        <w:t>-00</w:t>
      </w:r>
      <w:r w:rsidRPr="00EE4C41">
        <w:rPr>
          <w:szCs w:val="20"/>
        </w:rPr>
        <w:t xml:space="preserve">2 – </w:t>
      </w:r>
      <w:r w:rsidR="003E3DDC" w:rsidRPr="00EE4C41">
        <w:rPr>
          <w:szCs w:val="20"/>
        </w:rPr>
        <w:t xml:space="preserve">Pre-Qualification Questionnaire and </w:t>
      </w:r>
      <w:r w:rsidR="00EE686C" w:rsidRPr="00EE4C41">
        <w:rPr>
          <w:szCs w:val="20"/>
        </w:rPr>
        <w:t>Evaluation Criteria fo</w:t>
      </w:r>
      <w:r w:rsidR="00950102" w:rsidRPr="00EE4C41">
        <w:rPr>
          <w:szCs w:val="20"/>
        </w:rPr>
        <w:t xml:space="preserve">r </w:t>
      </w:r>
      <w:r w:rsidR="003E3DDC" w:rsidRPr="00EE4C41">
        <w:rPr>
          <w:szCs w:val="20"/>
        </w:rPr>
        <w:t>PQQ</w:t>
      </w:r>
    </w:p>
    <w:p w14:paraId="127EF47D" w14:textId="5AC07F0C" w:rsidR="005B2ED7" w:rsidRPr="00EE4C41" w:rsidRDefault="003E3DDC" w:rsidP="00EE4C41">
      <w:pPr>
        <w:jc w:val="both"/>
        <w:rPr>
          <w:szCs w:val="20"/>
        </w:rPr>
      </w:pPr>
      <w:r w:rsidRPr="00EE4C41">
        <w:rPr>
          <w:szCs w:val="20"/>
        </w:rPr>
        <w:t xml:space="preserve">Attachment 003 - Procurement Document </w:t>
      </w:r>
    </w:p>
    <w:p w14:paraId="1229788F" w14:textId="6E206CD2" w:rsidR="006A1193" w:rsidRPr="00EE4C41" w:rsidRDefault="003E3DDC" w:rsidP="00EE4C41">
      <w:pPr>
        <w:jc w:val="both"/>
        <w:rPr>
          <w:szCs w:val="20"/>
        </w:rPr>
      </w:pPr>
      <w:r w:rsidRPr="00EE4C41">
        <w:rPr>
          <w:szCs w:val="20"/>
        </w:rPr>
        <w:t xml:space="preserve">Attachment 004 – The Authority’s Contract Principles </w:t>
      </w:r>
    </w:p>
    <w:p w14:paraId="0FF483C3" w14:textId="5C02AFD5" w:rsidR="00793350" w:rsidRPr="00EE4C41" w:rsidRDefault="003E3DDC" w:rsidP="00EE4C41">
      <w:pPr>
        <w:jc w:val="both"/>
        <w:rPr>
          <w:szCs w:val="20"/>
        </w:rPr>
      </w:pPr>
      <w:r w:rsidRPr="00EE4C41">
        <w:rPr>
          <w:szCs w:val="20"/>
        </w:rPr>
        <w:t>Attachment 005 – The Authority’s Responsible Procurement Charter</w:t>
      </w:r>
    </w:p>
    <w:p w14:paraId="67610751" w14:textId="619D9298" w:rsidR="003E3DDC" w:rsidRPr="00EE4C41" w:rsidRDefault="003E3DDC" w:rsidP="00EE4C41">
      <w:pPr>
        <w:jc w:val="both"/>
        <w:rPr>
          <w:szCs w:val="20"/>
        </w:rPr>
      </w:pPr>
      <w:r w:rsidRPr="00EE4C41">
        <w:rPr>
          <w:szCs w:val="20"/>
        </w:rPr>
        <w:t>Attachment 006 – The Authority’s SHE Specification</w:t>
      </w:r>
    </w:p>
    <w:p w14:paraId="081065D2" w14:textId="20D136B6" w:rsidR="00101A2C" w:rsidRPr="00EE4C41" w:rsidRDefault="00101A2C" w:rsidP="00101A2C">
      <w:pPr>
        <w:jc w:val="both"/>
        <w:rPr>
          <w:szCs w:val="20"/>
        </w:rPr>
      </w:pPr>
      <w:r w:rsidRPr="00EE4C41">
        <w:rPr>
          <w:szCs w:val="20"/>
        </w:rPr>
        <w:t>Attachment 00</w:t>
      </w:r>
      <w:r>
        <w:rPr>
          <w:szCs w:val="20"/>
        </w:rPr>
        <w:t>7</w:t>
      </w:r>
      <w:r w:rsidRPr="00EE4C41">
        <w:rPr>
          <w:szCs w:val="20"/>
        </w:rPr>
        <w:t xml:space="preserve"> – </w:t>
      </w:r>
      <w:r w:rsidR="00E50595">
        <w:rPr>
          <w:szCs w:val="20"/>
        </w:rPr>
        <w:t xml:space="preserve">Emptoris Guidance </w:t>
      </w:r>
    </w:p>
    <w:p w14:paraId="750DB339" w14:textId="50026CAF" w:rsidR="003B5DEC" w:rsidRPr="00EE4C41" w:rsidRDefault="003B5DEC" w:rsidP="00101A2C">
      <w:pPr>
        <w:jc w:val="both"/>
        <w:rPr>
          <w:szCs w:val="20"/>
        </w:rPr>
      </w:pPr>
    </w:p>
    <w:sectPr w:rsidR="003B5DEC" w:rsidRPr="00EE4C41" w:rsidSect="00945FA3">
      <w:headerReference w:type="default" r:id="rId18"/>
      <w:footerReference w:type="default" r:id="rId19"/>
      <w:pgSz w:w="11906" w:h="16838"/>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4617" w14:textId="77777777" w:rsidR="004108E1" w:rsidRDefault="004108E1">
      <w:r>
        <w:separator/>
      </w:r>
    </w:p>
  </w:endnote>
  <w:endnote w:type="continuationSeparator" w:id="0">
    <w:p w14:paraId="2E7CD57B" w14:textId="77777777" w:rsidR="004108E1" w:rsidRDefault="004108E1">
      <w:r>
        <w:continuationSeparator/>
      </w:r>
    </w:p>
  </w:endnote>
  <w:endnote w:type="continuationNotice" w:id="1">
    <w:p w14:paraId="29846421" w14:textId="77777777" w:rsidR="004108E1" w:rsidRDefault="00410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E6F2" w14:textId="77777777" w:rsidR="00573E0F" w:rsidRDefault="0057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D8D5" w14:textId="77777777" w:rsidR="00573E0F" w:rsidRDefault="00573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83D6" w14:textId="77777777" w:rsidR="00853419" w:rsidRDefault="00853419" w:rsidP="001345A0">
    <w:pPr>
      <w:pStyle w:val="Footer"/>
      <w:pBdr>
        <w:top w:val="single" w:sz="4" w:space="1" w:color="auto"/>
      </w:pBdr>
      <w:rPr>
        <w:rFonts w:ascii="Arial" w:hAnsi="Arial" w:cs="Arial"/>
        <w:sz w:val="16"/>
        <w:szCs w:val="16"/>
      </w:rPr>
    </w:pPr>
  </w:p>
  <w:p w14:paraId="0FF483D7" w14:textId="77777777" w:rsidR="00853419" w:rsidRPr="00945FA3" w:rsidRDefault="00853419" w:rsidP="001345A0">
    <w:pPr>
      <w:pStyle w:val="Footer"/>
      <w:pBdr>
        <w:top w:val="single" w:sz="4" w:space="1" w:color="auto"/>
      </w:pBdr>
      <w:rPr>
        <w:rFonts w:ascii="Arial" w:hAnsi="Arial" w:cs="Arial"/>
        <w:sz w:val="16"/>
        <w:szCs w:val="16"/>
      </w:rPr>
    </w:pPr>
    <w:r>
      <w:rPr>
        <w:rFonts w:ascii="Arial" w:hAnsi="Arial" w:cs="Arial"/>
        <w:sz w:val="16"/>
        <w:szCs w:val="16"/>
      </w:rPr>
      <w:t>[FILE NAME INCL REVISION NUMBER]</w:t>
    </w:r>
    <w:r>
      <w:rPr>
        <w:rFonts w:ascii="Arial" w:hAnsi="Arial" w:cs="Arial"/>
        <w:sz w:val="16"/>
        <w:szCs w:val="16"/>
      </w:rPr>
      <w:tab/>
    </w:r>
    <w:r>
      <w:rPr>
        <w:rFonts w:ascii="Arial" w:hAnsi="Arial" w:cs="Arial"/>
        <w:sz w:val="16"/>
        <w:szCs w:val="16"/>
      </w:rPr>
      <w:tab/>
    </w:r>
    <w:r w:rsidRPr="00945FA3">
      <w:rPr>
        <w:rFonts w:ascii="Arial" w:hAnsi="Arial" w:cs="Arial"/>
        <w:sz w:val="16"/>
        <w:szCs w:val="16"/>
      </w:rPr>
      <w:t xml:space="preserve">Page </w:t>
    </w:r>
    <w:r w:rsidRPr="00945FA3">
      <w:rPr>
        <w:rFonts w:ascii="Arial" w:hAnsi="Arial" w:cs="Arial"/>
        <w:sz w:val="16"/>
        <w:szCs w:val="16"/>
      </w:rPr>
      <w:fldChar w:fldCharType="begin"/>
    </w:r>
    <w:r w:rsidRPr="00945FA3">
      <w:rPr>
        <w:rFonts w:ascii="Arial" w:hAnsi="Arial" w:cs="Arial"/>
        <w:sz w:val="16"/>
        <w:szCs w:val="16"/>
      </w:rPr>
      <w:instrText xml:space="preserve"> PAGE </w:instrText>
    </w:r>
    <w:r w:rsidRPr="00945FA3">
      <w:rPr>
        <w:rFonts w:ascii="Arial" w:hAnsi="Arial" w:cs="Arial"/>
        <w:sz w:val="16"/>
        <w:szCs w:val="16"/>
      </w:rPr>
      <w:fldChar w:fldCharType="separate"/>
    </w:r>
    <w:r w:rsidR="00690319">
      <w:rPr>
        <w:rFonts w:ascii="Arial" w:hAnsi="Arial" w:cs="Arial"/>
        <w:noProof/>
        <w:sz w:val="16"/>
        <w:szCs w:val="16"/>
      </w:rPr>
      <w:t>1</w:t>
    </w:r>
    <w:r w:rsidRPr="00945FA3">
      <w:rPr>
        <w:rFonts w:ascii="Arial" w:hAnsi="Arial" w:cs="Arial"/>
        <w:sz w:val="16"/>
        <w:szCs w:val="16"/>
      </w:rPr>
      <w:fldChar w:fldCharType="end"/>
    </w:r>
    <w:r w:rsidRPr="00945FA3">
      <w:rPr>
        <w:rFonts w:ascii="Arial" w:hAnsi="Arial" w:cs="Arial"/>
        <w:sz w:val="16"/>
        <w:szCs w:val="16"/>
      </w:rPr>
      <w:t xml:space="preserve"> of </w:t>
    </w:r>
    <w:r w:rsidR="00950102">
      <w:rPr>
        <w:rFonts w:ascii="Arial" w:hAnsi="Arial" w:cs="Arial"/>
        <w:sz w:val="16"/>
        <w:szCs w:val="16"/>
      </w:rPr>
      <w:t>8</w:t>
    </w:r>
  </w:p>
  <w:p w14:paraId="0FF483D8" w14:textId="77777777" w:rsidR="00853419" w:rsidRPr="00945FA3" w:rsidRDefault="00853419" w:rsidP="00945FA3">
    <w:pPr>
      <w:pStyle w:val="Footer"/>
      <w:pBdr>
        <w:top w:val="single" w:sz="4" w:space="1" w:color="auto"/>
      </w:pBd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83DD" w14:textId="77777777" w:rsidR="00853419" w:rsidRPr="00945FA3" w:rsidRDefault="00853419" w:rsidP="00945FA3">
    <w:pPr>
      <w:pStyle w:val="Footer"/>
      <w:pBdr>
        <w:top w:val="single" w:sz="4" w:space="1" w:color="auto"/>
      </w:pBdr>
      <w:rPr>
        <w:rFonts w:ascii="Arial" w:hAnsi="Arial" w:cs="Arial"/>
        <w:sz w:val="16"/>
        <w:szCs w:val="16"/>
      </w:rPr>
    </w:pPr>
    <w:r>
      <w:rPr>
        <w:rFonts w:ascii="Arial" w:hAnsi="Arial" w:cs="Arial"/>
        <w:sz w:val="16"/>
        <w:szCs w:val="16"/>
      </w:rPr>
      <w:t>[FILE NAME INCL REVISION NUMBER]</w:t>
    </w:r>
    <w:r>
      <w:rPr>
        <w:rFonts w:ascii="Arial" w:hAnsi="Arial" w:cs="Arial"/>
        <w:sz w:val="16"/>
        <w:szCs w:val="16"/>
      </w:rPr>
      <w:tab/>
    </w:r>
    <w:r>
      <w:rPr>
        <w:rFonts w:ascii="Arial" w:hAnsi="Arial" w:cs="Arial"/>
        <w:sz w:val="16"/>
        <w:szCs w:val="16"/>
      </w:rPr>
      <w:tab/>
    </w:r>
    <w:r w:rsidRPr="00945FA3">
      <w:rPr>
        <w:rFonts w:ascii="Arial" w:hAnsi="Arial" w:cs="Arial"/>
        <w:sz w:val="16"/>
        <w:szCs w:val="16"/>
      </w:rPr>
      <w:t xml:space="preserve">Page </w:t>
    </w:r>
    <w:r w:rsidRPr="00945FA3">
      <w:rPr>
        <w:rFonts w:ascii="Arial" w:hAnsi="Arial" w:cs="Arial"/>
        <w:sz w:val="16"/>
        <w:szCs w:val="16"/>
      </w:rPr>
      <w:fldChar w:fldCharType="begin"/>
    </w:r>
    <w:r w:rsidRPr="00945FA3">
      <w:rPr>
        <w:rFonts w:ascii="Arial" w:hAnsi="Arial" w:cs="Arial"/>
        <w:sz w:val="16"/>
        <w:szCs w:val="16"/>
      </w:rPr>
      <w:instrText xml:space="preserve"> PAGE </w:instrText>
    </w:r>
    <w:r w:rsidRPr="00945FA3">
      <w:rPr>
        <w:rFonts w:ascii="Arial" w:hAnsi="Arial" w:cs="Arial"/>
        <w:sz w:val="16"/>
        <w:szCs w:val="16"/>
      </w:rPr>
      <w:fldChar w:fldCharType="separate"/>
    </w:r>
    <w:r w:rsidR="00690319">
      <w:rPr>
        <w:rFonts w:ascii="Arial" w:hAnsi="Arial" w:cs="Arial"/>
        <w:noProof/>
        <w:sz w:val="16"/>
        <w:szCs w:val="16"/>
      </w:rPr>
      <w:t>3</w:t>
    </w:r>
    <w:r w:rsidRPr="00945FA3">
      <w:rPr>
        <w:rFonts w:ascii="Arial" w:hAnsi="Arial" w:cs="Arial"/>
        <w:sz w:val="16"/>
        <w:szCs w:val="16"/>
      </w:rPr>
      <w:fldChar w:fldCharType="end"/>
    </w:r>
    <w:r w:rsidRPr="00945FA3">
      <w:rPr>
        <w:rFonts w:ascii="Arial" w:hAnsi="Arial" w:cs="Arial"/>
        <w:sz w:val="16"/>
        <w:szCs w:val="16"/>
      </w:rPr>
      <w:t xml:space="preserve"> of </w:t>
    </w:r>
    <w:r w:rsidR="00793350">
      <w:rPr>
        <w:rFonts w:ascii="Arial" w:hAnsi="Arial" w:cs="Arial"/>
        <w:sz w:val="16"/>
        <w:szCs w:val="16"/>
      </w:rPr>
      <w:t>9</w:t>
    </w:r>
  </w:p>
  <w:p w14:paraId="0FF483DE" w14:textId="77777777" w:rsidR="00853419" w:rsidRPr="00945FA3" w:rsidRDefault="00853419" w:rsidP="00945FA3">
    <w:pPr>
      <w:pStyle w:val="Foote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FFEC" w14:textId="77777777" w:rsidR="004108E1" w:rsidRDefault="004108E1">
      <w:r>
        <w:separator/>
      </w:r>
    </w:p>
  </w:footnote>
  <w:footnote w:type="continuationSeparator" w:id="0">
    <w:p w14:paraId="74722819" w14:textId="77777777" w:rsidR="004108E1" w:rsidRDefault="004108E1">
      <w:r>
        <w:continuationSeparator/>
      </w:r>
    </w:p>
  </w:footnote>
  <w:footnote w:type="continuationNotice" w:id="1">
    <w:p w14:paraId="76EA8D22" w14:textId="77777777" w:rsidR="004108E1" w:rsidRDefault="00410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CA5" w14:textId="77777777" w:rsidR="00573E0F" w:rsidRDefault="0057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EC93" w14:textId="77777777" w:rsidR="00573E0F" w:rsidRDefault="00573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103"/>
      <w:gridCol w:w="1549"/>
      <w:gridCol w:w="2385"/>
    </w:tblGrid>
    <w:tr w:rsidR="00491E6C" w14:paraId="0FF483CC" w14:textId="77777777" w:rsidTr="004858FA">
      <w:trPr>
        <w:cantSplit/>
        <w:trHeight w:val="593"/>
        <w:jc w:val="center"/>
      </w:trPr>
      <w:tc>
        <w:tcPr>
          <w:tcW w:w="1951" w:type="dxa"/>
          <w:vAlign w:val="center"/>
        </w:tcPr>
        <w:p w14:paraId="0FF483C8" w14:textId="77777777" w:rsidR="00491E6C" w:rsidRPr="00491E6C" w:rsidRDefault="00491E6C" w:rsidP="004858FA">
          <w:pPr>
            <w:pStyle w:val="Header"/>
            <w:jc w:val="center"/>
            <w:rPr>
              <w:rFonts w:ascii="Trebuchet MS" w:hAnsi="Trebuchet MS"/>
              <w:szCs w:val="20"/>
            </w:rPr>
          </w:pPr>
          <w:r w:rsidRPr="00491E6C">
            <w:rPr>
              <w:rFonts w:ascii="Trebuchet MS" w:hAnsi="Trebuchet MS"/>
              <w:szCs w:val="20"/>
            </w:rPr>
            <w:t>Reference</w:t>
          </w:r>
        </w:p>
      </w:tc>
      <w:tc>
        <w:tcPr>
          <w:tcW w:w="5103" w:type="dxa"/>
          <w:tcBorders>
            <w:right w:val="nil"/>
          </w:tcBorders>
          <w:shd w:val="clear" w:color="auto" w:fill="auto"/>
          <w:vAlign w:val="center"/>
        </w:tcPr>
        <w:p w14:paraId="0FF483C9" w14:textId="77777777" w:rsidR="00491E6C" w:rsidRPr="00491E6C" w:rsidRDefault="00491E6C" w:rsidP="004858FA">
          <w:pPr>
            <w:pStyle w:val="Header"/>
            <w:jc w:val="center"/>
            <w:rPr>
              <w:rFonts w:ascii="Trebuchet MS" w:hAnsi="Trebuchet MS"/>
              <w:szCs w:val="20"/>
            </w:rPr>
          </w:pPr>
          <w:r w:rsidRPr="00491E6C">
            <w:rPr>
              <w:rFonts w:ascii="Trebuchet MS" w:hAnsi="Trebuchet MS"/>
              <w:szCs w:val="20"/>
            </w:rPr>
            <w:t>Title</w:t>
          </w:r>
        </w:p>
      </w:tc>
      <w:tc>
        <w:tcPr>
          <w:tcW w:w="1549" w:type="dxa"/>
          <w:tcBorders>
            <w:top w:val="single" w:sz="4" w:space="0" w:color="auto"/>
            <w:left w:val="single" w:sz="4" w:space="0" w:color="auto"/>
            <w:bottom w:val="single" w:sz="4" w:space="0" w:color="auto"/>
            <w:right w:val="single" w:sz="4" w:space="0" w:color="auto"/>
          </w:tcBorders>
          <w:vAlign w:val="center"/>
        </w:tcPr>
        <w:p w14:paraId="0FF483CA" w14:textId="77777777" w:rsidR="00491E6C" w:rsidRPr="00491E6C" w:rsidRDefault="00491E6C" w:rsidP="004858FA">
          <w:pPr>
            <w:pStyle w:val="Header"/>
            <w:jc w:val="center"/>
            <w:rPr>
              <w:rFonts w:ascii="Trebuchet MS" w:hAnsi="Trebuchet MS"/>
              <w:szCs w:val="20"/>
            </w:rPr>
          </w:pPr>
          <w:r w:rsidRPr="00491E6C">
            <w:rPr>
              <w:rFonts w:ascii="Trebuchet MS" w:hAnsi="Trebuchet MS"/>
              <w:szCs w:val="20"/>
            </w:rPr>
            <w:t>Revision</w:t>
          </w:r>
        </w:p>
      </w:tc>
      <w:tc>
        <w:tcPr>
          <w:tcW w:w="2385" w:type="dxa"/>
          <w:tcBorders>
            <w:top w:val="single" w:sz="4" w:space="0" w:color="auto"/>
            <w:left w:val="single" w:sz="4" w:space="0" w:color="auto"/>
            <w:bottom w:val="single" w:sz="4" w:space="0" w:color="auto"/>
            <w:right w:val="single" w:sz="4" w:space="0" w:color="auto"/>
          </w:tcBorders>
          <w:vAlign w:val="center"/>
        </w:tcPr>
        <w:p w14:paraId="0FF483CB" w14:textId="77777777" w:rsidR="00491E6C" w:rsidRPr="00491E6C" w:rsidRDefault="00491E6C" w:rsidP="004858FA">
          <w:pPr>
            <w:pStyle w:val="Header"/>
            <w:jc w:val="center"/>
            <w:rPr>
              <w:rFonts w:ascii="Trebuchet MS" w:hAnsi="Trebuchet MS"/>
              <w:szCs w:val="20"/>
            </w:rPr>
          </w:pPr>
          <w:r w:rsidRPr="00491E6C">
            <w:rPr>
              <w:rFonts w:ascii="Trebuchet MS" w:hAnsi="Trebuchet MS"/>
              <w:szCs w:val="20"/>
            </w:rPr>
            <w:t>Issued</w:t>
          </w:r>
        </w:p>
      </w:tc>
    </w:tr>
    <w:tr w:rsidR="00491E6C" w:rsidRPr="007959BA" w14:paraId="0FF483D4" w14:textId="77777777" w:rsidTr="004858FA">
      <w:trPr>
        <w:cantSplit/>
        <w:trHeight w:val="593"/>
        <w:jc w:val="center"/>
      </w:trPr>
      <w:tc>
        <w:tcPr>
          <w:tcW w:w="1951" w:type="dxa"/>
        </w:tcPr>
        <w:p w14:paraId="0FF483CD" w14:textId="77777777" w:rsidR="00491E6C" w:rsidRPr="00491E6C" w:rsidRDefault="00491E6C" w:rsidP="004858FA">
          <w:pPr>
            <w:pStyle w:val="Header"/>
            <w:jc w:val="center"/>
            <w:rPr>
              <w:rFonts w:ascii="Trebuchet MS" w:hAnsi="Trebuchet MS"/>
              <w:szCs w:val="20"/>
            </w:rPr>
          </w:pPr>
        </w:p>
        <w:p w14:paraId="0FF483CE" w14:textId="77777777" w:rsidR="00491E6C" w:rsidRPr="00491E6C" w:rsidRDefault="00491E6C" w:rsidP="004858FA">
          <w:pPr>
            <w:pStyle w:val="Header"/>
            <w:jc w:val="center"/>
            <w:rPr>
              <w:rFonts w:ascii="Trebuchet MS" w:hAnsi="Trebuchet MS"/>
              <w:szCs w:val="20"/>
            </w:rPr>
          </w:pPr>
          <w:r w:rsidRPr="00491E6C">
            <w:rPr>
              <w:rFonts w:ascii="Trebuchet MS" w:hAnsi="Trebuchet MS"/>
              <w:szCs w:val="20"/>
            </w:rPr>
            <w:t>FO-PRS-EMP-054</w:t>
          </w:r>
        </w:p>
      </w:tc>
      <w:tc>
        <w:tcPr>
          <w:tcW w:w="5103" w:type="dxa"/>
          <w:tcBorders>
            <w:right w:val="nil"/>
          </w:tcBorders>
          <w:shd w:val="clear" w:color="auto" w:fill="auto"/>
        </w:tcPr>
        <w:p w14:paraId="0FF483CF" w14:textId="77777777" w:rsidR="00491E6C" w:rsidRPr="00491E6C" w:rsidRDefault="00491E6C" w:rsidP="004858FA">
          <w:pPr>
            <w:pStyle w:val="Header"/>
            <w:jc w:val="center"/>
            <w:rPr>
              <w:rFonts w:ascii="Trebuchet MS" w:hAnsi="Trebuchet MS"/>
              <w:szCs w:val="20"/>
            </w:rPr>
          </w:pPr>
        </w:p>
        <w:p w14:paraId="0FF483D0" w14:textId="3C245ED5" w:rsidR="00491E6C" w:rsidRPr="00491E6C" w:rsidRDefault="00573E0F" w:rsidP="004858FA">
          <w:pPr>
            <w:pStyle w:val="Header"/>
            <w:jc w:val="center"/>
            <w:rPr>
              <w:rFonts w:ascii="Trebuchet MS" w:hAnsi="Trebuchet MS"/>
              <w:szCs w:val="20"/>
            </w:rPr>
          </w:pPr>
          <w:r>
            <w:rPr>
              <w:rFonts w:ascii="Trebuchet MS" w:hAnsi="Trebuchet MS"/>
              <w:szCs w:val="20"/>
            </w:rPr>
            <w:t>PQQ</w:t>
          </w:r>
          <w:r w:rsidR="00491E6C" w:rsidRPr="00491E6C">
            <w:rPr>
              <w:rFonts w:ascii="Trebuchet MS" w:hAnsi="Trebuchet MS"/>
              <w:szCs w:val="20"/>
            </w:rPr>
            <w:t xml:space="preserve"> Instructions to Applicants</w:t>
          </w:r>
        </w:p>
        <w:p w14:paraId="0FF483D1" w14:textId="77777777" w:rsidR="00491E6C" w:rsidRPr="00491E6C" w:rsidRDefault="00491E6C" w:rsidP="004858FA">
          <w:pPr>
            <w:pStyle w:val="Header"/>
            <w:jc w:val="center"/>
            <w:rPr>
              <w:rFonts w:ascii="Trebuchet MS" w:hAnsi="Trebuchet MS"/>
              <w:szCs w:val="20"/>
            </w:rPr>
          </w:pPr>
        </w:p>
      </w:tc>
      <w:tc>
        <w:tcPr>
          <w:tcW w:w="1549" w:type="dxa"/>
          <w:tcBorders>
            <w:top w:val="single" w:sz="4" w:space="0" w:color="auto"/>
            <w:left w:val="single" w:sz="4" w:space="0" w:color="auto"/>
            <w:bottom w:val="single" w:sz="4" w:space="0" w:color="auto"/>
            <w:right w:val="single" w:sz="4" w:space="0" w:color="auto"/>
          </w:tcBorders>
          <w:vAlign w:val="center"/>
        </w:tcPr>
        <w:p w14:paraId="0FF483D2" w14:textId="77777777" w:rsidR="00491E6C" w:rsidRPr="00491E6C" w:rsidRDefault="00491E6C" w:rsidP="00690319">
          <w:pPr>
            <w:pStyle w:val="Header"/>
            <w:jc w:val="center"/>
            <w:rPr>
              <w:rFonts w:ascii="Trebuchet MS" w:hAnsi="Trebuchet MS"/>
              <w:szCs w:val="20"/>
            </w:rPr>
          </w:pPr>
          <w:r w:rsidRPr="00491E6C">
            <w:rPr>
              <w:rFonts w:ascii="Trebuchet MS" w:hAnsi="Trebuchet MS"/>
              <w:szCs w:val="20"/>
            </w:rPr>
            <w:t>1.</w:t>
          </w:r>
          <w:r w:rsidR="00690319">
            <w:rPr>
              <w:rFonts w:ascii="Trebuchet MS" w:hAnsi="Trebuchet MS"/>
              <w:szCs w:val="20"/>
            </w:rPr>
            <w:t>1</w:t>
          </w:r>
        </w:p>
      </w:tc>
      <w:tc>
        <w:tcPr>
          <w:tcW w:w="2385" w:type="dxa"/>
          <w:tcBorders>
            <w:top w:val="single" w:sz="4" w:space="0" w:color="auto"/>
            <w:left w:val="single" w:sz="4" w:space="0" w:color="auto"/>
            <w:bottom w:val="single" w:sz="4" w:space="0" w:color="auto"/>
            <w:right w:val="single" w:sz="4" w:space="0" w:color="auto"/>
          </w:tcBorders>
          <w:vAlign w:val="center"/>
        </w:tcPr>
        <w:p w14:paraId="0FF483D3" w14:textId="77777777" w:rsidR="00491E6C" w:rsidRPr="00491E6C" w:rsidRDefault="00690319" w:rsidP="004858FA">
          <w:pPr>
            <w:pStyle w:val="Header"/>
            <w:jc w:val="center"/>
            <w:rPr>
              <w:rFonts w:ascii="Trebuchet MS" w:hAnsi="Trebuchet MS"/>
              <w:szCs w:val="20"/>
            </w:rPr>
          </w:pPr>
          <w:r>
            <w:rPr>
              <w:rFonts w:ascii="Trebuchet MS" w:hAnsi="Trebuchet MS"/>
              <w:szCs w:val="20"/>
            </w:rPr>
            <w:t>December</w:t>
          </w:r>
          <w:r w:rsidR="00491E6C" w:rsidRPr="00491E6C">
            <w:rPr>
              <w:rFonts w:ascii="Trebuchet MS" w:hAnsi="Trebuchet MS"/>
              <w:szCs w:val="20"/>
            </w:rPr>
            <w:t xml:space="preserve"> 2017</w:t>
          </w:r>
        </w:p>
      </w:tc>
    </w:tr>
  </w:tbl>
  <w:p w14:paraId="0FF483D5" w14:textId="77777777" w:rsidR="00491E6C" w:rsidRDefault="00491E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83D9" w14:textId="77777777" w:rsidR="00853419" w:rsidRDefault="00853419" w:rsidP="00700E17">
    <w:pPr>
      <w:numPr>
        <w:ilvl w:val="0"/>
        <w:numId w:val="1"/>
      </w:numPr>
      <w:ind w:left="0" w:firstLine="0"/>
      <w:jc w:val="center"/>
    </w:pPr>
  </w:p>
  <w:p w14:paraId="0FF483DA" w14:textId="77777777" w:rsidR="00853419" w:rsidRDefault="00853419" w:rsidP="00700E17">
    <w:pPr>
      <w:numPr>
        <w:ilvl w:val="0"/>
        <w:numId w:val="1"/>
      </w:numPr>
      <w:ind w:left="0" w:firstLine="0"/>
      <w:jc w:val="center"/>
    </w:pPr>
  </w:p>
  <w:p w14:paraId="0FF483DB" w14:textId="77777777" w:rsidR="00853419" w:rsidRDefault="00853419" w:rsidP="00FD468D">
    <w:r>
      <w:t>_____________________________________________________________________</w:t>
    </w:r>
  </w:p>
  <w:p w14:paraId="0FF483DC" w14:textId="77777777" w:rsidR="00853419" w:rsidRPr="00700E17" w:rsidRDefault="00853419" w:rsidP="0070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AE6E9E6"/>
    <w:lvl w:ilvl="0">
      <w:numFmt w:val="bullet"/>
      <w:lvlText w:val="*"/>
      <w:lvlJc w:val="left"/>
    </w:lvl>
  </w:abstractNum>
  <w:abstractNum w:abstractNumId="1" w15:restartNumberingAfterBreak="0">
    <w:nsid w:val="005D15F0"/>
    <w:multiLevelType w:val="multilevel"/>
    <w:tmpl w:val="27C0383C"/>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B33C9D"/>
    <w:multiLevelType w:val="multilevel"/>
    <w:tmpl w:val="291220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3966AC"/>
    <w:multiLevelType w:val="hybridMultilevel"/>
    <w:tmpl w:val="43F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F49FB"/>
    <w:multiLevelType w:val="hybridMultilevel"/>
    <w:tmpl w:val="F2566D8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6CA72D3"/>
    <w:multiLevelType w:val="hybridMultilevel"/>
    <w:tmpl w:val="B848552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48412E5"/>
    <w:multiLevelType w:val="hybridMultilevel"/>
    <w:tmpl w:val="FD96292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6E07C8"/>
    <w:multiLevelType w:val="hybridMultilevel"/>
    <w:tmpl w:val="59963678"/>
    <w:lvl w:ilvl="0" w:tplc="8070B3D4">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B0F9B"/>
    <w:multiLevelType w:val="hybridMultilevel"/>
    <w:tmpl w:val="A8D0AC0A"/>
    <w:lvl w:ilvl="0" w:tplc="9AE84A0C">
      <w:start w:val="1"/>
      <w:numFmt w:val="decimal"/>
      <w:lvlText w:val="%1)"/>
      <w:lvlJc w:val="left"/>
      <w:pPr>
        <w:ind w:left="1800"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9" w15:restartNumberingAfterBreak="0">
    <w:nsid w:val="3CDE4FA2"/>
    <w:multiLevelType w:val="multilevel"/>
    <w:tmpl w:val="D8E0AF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381AF0"/>
    <w:multiLevelType w:val="hybridMultilevel"/>
    <w:tmpl w:val="14E29C96"/>
    <w:lvl w:ilvl="0" w:tplc="D09EF9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848CE"/>
    <w:multiLevelType w:val="multilevel"/>
    <w:tmpl w:val="74405B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C1C36"/>
    <w:multiLevelType w:val="hybridMultilevel"/>
    <w:tmpl w:val="72D4C65E"/>
    <w:lvl w:ilvl="0" w:tplc="6F3E10D8">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FB696E"/>
    <w:multiLevelType w:val="hybridMultilevel"/>
    <w:tmpl w:val="96023132"/>
    <w:lvl w:ilvl="0" w:tplc="EDC2C53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65205"/>
    <w:multiLevelType w:val="multilevel"/>
    <w:tmpl w:val="06E4A08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6E8410C"/>
    <w:multiLevelType w:val="hybridMultilevel"/>
    <w:tmpl w:val="6BE25B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9F2AFC"/>
    <w:multiLevelType w:val="hybridMultilevel"/>
    <w:tmpl w:val="827AFA5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F6D1D72"/>
    <w:multiLevelType w:val="hybridMultilevel"/>
    <w:tmpl w:val="8D9ABBA8"/>
    <w:lvl w:ilvl="0" w:tplc="8924CDF0">
      <w:start w:val="6"/>
      <w:numFmt w:val="decimal"/>
      <w:lvlText w:val="%1."/>
      <w:lvlJc w:val="center"/>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9" w15:restartNumberingAfterBreak="0">
    <w:nsid w:val="675448BF"/>
    <w:multiLevelType w:val="hybridMultilevel"/>
    <w:tmpl w:val="16A28F68"/>
    <w:lvl w:ilvl="0" w:tplc="08090017">
      <w:start w:val="1"/>
      <w:numFmt w:val="lowerLetter"/>
      <w:lvlText w:val="%1)"/>
      <w:lvlJc w:val="left"/>
      <w:pPr>
        <w:tabs>
          <w:tab w:val="num" w:pos="927"/>
        </w:tabs>
        <w:ind w:left="927" w:hanging="360"/>
      </w:pPr>
      <w:rPr>
        <w:rFonts w:cs="Times New Roman"/>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686E09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F237C1"/>
    <w:multiLevelType w:val="hybridMultilevel"/>
    <w:tmpl w:val="4D9E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E38D8"/>
    <w:multiLevelType w:val="hybridMultilevel"/>
    <w:tmpl w:val="9306F21A"/>
    <w:lvl w:ilvl="0" w:tplc="9AE84A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6920914"/>
    <w:multiLevelType w:val="hybridMultilevel"/>
    <w:tmpl w:val="D2744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F0E6A"/>
    <w:multiLevelType w:val="hybridMultilevel"/>
    <w:tmpl w:val="75A4B3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BB240F8"/>
    <w:multiLevelType w:val="hybridMultilevel"/>
    <w:tmpl w:val="58C4AC3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CF813C3"/>
    <w:multiLevelType w:val="hybridMultilevel"/>
    <w:tmpl w:val="463A8E00"/>
    <w:lvl w:ilvl="0" w:tplc="9AE84A0C">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hint="default"/>
        </w:rPr>
      </w:lvl>
    </w:lvlOverride>
  </w:num>
  <w:num w:numId="2">
    <w:abstractNumId w:val="1"/>
  </w:num>
  <w:num w:numId="3">
    <w:abstractNumId w:val="15"/>
  </w:num>
  <w:num w:numId="4">
    <w:abstractNumId w:val="10"/>
  </w:num>
  <w:num w:numId="5">
    <w:abstractNumId w:val="6"/>
  </w:num>
  <w:num w:numId="6">
    <w:abstractNumId w:val="17"/>
  </w:num>
  <w:num w:numId="7">
    <w:abstractNumId w:val="19"/>
  </w:num>
  <w:num w:numId="8">
    <w:abstractNumId w:val="25"/>
  </w:num>
  <w:num w:numId="9">
    <w:abstractNumId w:val="16"/>
  </w:num>
  <w:num w:numId="10">
    <w:abstractNumId w:val="18"/>
  </w:num>
  <w:num w:numId="11">
    <w:abstractNumId w:val="0"/>
    <w:lvlOverride w:ilvl="0">
      <w:lvl w:ilvl="0">
        <w:numFmt w:val="bullet"/>
        <w:lvlText w:val=""/>
        <w:legacy w:legacy="1" w:legacySpace="0" w:legacyIndent="0"/>
        <w:lvlJc w:val="left"/>
        <w:rPr>
          <w:rFonts w:ascii="Symbol" w:hAnsi="Symbol" w:hint="default"/>
          <w:color w:val="auto"/>
          <w:sz w:val="22"/>
        </w:rPr>
      </w:lvl>
    </w:lvlOverride>
  </w:num>
  <w:num w:numId="12">
    <w:abstractNumId w:val="5"/>
  </w:num>
  <w:num w:numId="13">
    <w:abstractNumId w:val="4"/>
  </w:num>
  <w:num w:numId="14">
    <w:abstractNumId w:val="24"/>
  </w:num>
  <w:num w:numId="15">
    <w:abstractNumId w:val="22"/>
  </w:num>
  <w:num w:numId="16">
    <w:abstractNumId w:val="26"/>
  </w:num>
  <w:num w:numId="17">
    <w:abstractNumId w:val="8"/>
  </w:num>
  <w:num w:numId="18">
    <w:abstractNumId w:val="23"/>
  </w:num>
  <w:num w:numId="19">
    <w:abstractNumId w:val="13"/>
  </w:num>
  <w:num w:numId="20">
    <w:abstractNumId w:val="7"/>
  </w:num>
  <w:num w:numId="21">
    <w:abstractNumId w:val="21"/>
  </w:num>
  <w:num w:numId="22">
    <w:abstractNumId w:val="3"/>
  </w:num>
  <w:num w:numId="23">
    <w:abstractNumId w:val="2"/>
  </w:num>
  <w:num w:numId="24">
    <w:abstractNumId w:val="9"/>
  </w:num>
  <w:num w:numId="25">
    <w:abstractNumId w:val="11"/>
  </w:num>
  <w:num w:numId="26">
    <w:abstractNumId w:val="14"/>
  </w:num>
  <w:num w:numId="27">
    <w:abstractNumId w:val="12"/>
  </w:num>
  <w:num w:numId="28">
    <w:abstractNumId w:val="20"/>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1B"/>
    <w:rsid w:val="00000D2E"/>
    <w:rsid w:val="00002241"/>
    <w:rsid w:val="00003FCC"/>
    <w:rsid w:val="00010B02"/>
    <w:rsid w:val="00016DB9"/>
    <w:rsid w:val="000316B6"/>
    <w:rsid w:val="00034307"/>
    <w:rsid w:val="00036935"/>
    <w:rsid w:val="00041816"/>
    <w:rsid w:val="00041DF1"/>
    <w:rsid w:val="00042DC1"/>
    <w:rsid w:val="00065594"/>
    <w:rsid w:val="00067C76"/>
    <w:rsid w:val="00070643"/>
    <w:rsid w:val="00073704"/>
    <w:rsid w:val="00082C22"/>
    <w:rsid w:val="00083AAD"/>
    <w:rsid w:val="000840BB"/>
    <w:rsid w:val="00086584"/>
    <w:rsid w:val="000917FB"/>
    <w:rsid w:val="00097DBD"/>
    <w:rsid w:val="000A0424"/>
    <w:rsid w:val="000A3834"/>
    <w:rsid w:val="000B10A5"/>
    <w:rsid w:val="000B6A19"/>
    <w:rsid w:val="000C54A9"/>
    <w:rsid w:val="000D2445"/>
    <w:rsid w:val="000D49AE"/>
    <w:rsid w:val="000E1B7A"/>
    <w:rsid w:val="000E1CD1"/>
    <w:rsid w:val="000E2ACC"/>
    <w:rsid w:val="000E2EB6"/>
    <w:rsid w:val="000E454E"/>
    <w:rsid w:val="000F1F37"/>
    <w:rsid w:val="000F4997"/>
    <w:rsid w:val="000F50D4"/>
    <w:rsid w:val="000F6483"/>
    <w:rsid w:val="000F6AF0"/>
    <w:rsid w:val="001015E5"/>
    <w:rsid w:val="00101A2C"/>
    <w:rsid w:val="00116DA9"/>
    <w:rsid w:val="00117322"/>
    <w:rsid w:val="00120F4F"/>
    <w:rsid w:val="00122232"/>
    <w:rsid w:val="00127310"/>
    <w:rsid w:val="001306CF"/>
    <w:rsid w:val="001313F1"/>
    <w:rsid w:val="001335F4"/>
    <w:rsid w:val="001345A0"/>
    <w:rsid w:val="00136C60"/>
    <w:rsid w:val="001400ED"/>
    <w:rsid w:val="001420DA"/>
    <w:rsid w:val="00144631"/>
    <w:rsid w:val="00145867"/>
    <w:rsid w:val="001477E0"/>
    <w:rsid w:val="00155CD6"/>
    <w:rsid w:val="0016095F"/>
    <w:rsid w:val="00164C3D"/>
    <w:rsid w:val="001651A3"/>
    <w:rsid w:val="00165598"/>
    <w:rsid w:val="0017409D"/>
    <w:rsid w:val="00180FEF"/>
    <w:rsid w:val="001827CA"/>
    <w:rsid w:val="00186139"/>
    <w:rsid w:val="00186566"/>
    <w:rsid w:val="0018660E"/>
    <w:rsid w:val="00187298"/>
    <w:rsid w:val="00187A9F"/>
    <w:rsid w:val="00196C37"/>
    <w:rsid w:val="00196D3C"/>
    <w:rsid w:val="001971C6"/>
    <w:rsid w:val="001A0CAB"/>
    <w:rsid w:val="001A0E9C"/>
    <w:rsid w:val="001A75FB"/>
    <w:rsid w:val="001B290B"/>
    <w:rsid w:val="001B3E2C"/>
    <w:rsid w:val="001B736E"/>
    <w:rsid w:val="001B7AE9"/>
    <w:rsid w:val="001B7F95"/>
    <w:rsid w:val="001C0DC3"/>
    <w:rsid w:val="001C1CE2"/>
    <w:rsid w:val="001C4223"/>
    <w:rsid w:val="001C656D"/>
    <w:rsid w:val="001D08E3"/>
    <w:rsid w:val="001D1D38"/>
    <w:rsid w:val="001D6F6C"/>
    <w:rsid w:val="001E1C5F"/>
    <w:rsid w:val="001F285B"/>
    <w:rsid w:val="001F58F3"/>
    <w:rsid w:val="001F6ECF"/>
    <w:rsid w:val="00201B9C"/>
    <w:rsid w:val="00207CD5"/>
    <w:rsid w:val="00210C22"/>
    <w:rsid w:val="002133E8"/>
    <w:rsid w:val="00222D2D"/>
    <w:rsid w:val="002253D4"/>
    <w:rsid w:val="00225512"/>
    <w:rsid w:val="00233F10"/>
    <w:rsid w:val="00234BE3"/>
    <w:rsid w:val="002450D3"/>
    <w:rsid w:val="00250804"/>
    <w:rsid w:val="00256B4F"/>
    <w:rsid w:val="002642CB"/>
    <w:rsid w:val="00277284"/>
    <w:rsid w:val="00282B45"/>
    <w:rsid w:val="00283B10"/>
    <w:rsid w:val="00286995"/>
    <w:rsid w:val="00286BFB"/>
    <w:rsid w:val="00291CCE"/>
    <w:rsid w:val="0029219F"/>
    <w:rsid w:val="002959AC"/>
    <w:rsid w:val="002A1AD8"/>
    <w:rsid w:val="002A28FF"/>
    <w:rsid w:val="002A29B6"/>
    <w:rsid w:val="002A33C1"/>
    <w:rsid w:val="002A69CA"/>
    <w:rsid w:val="002A70B3"/>
    <w:rsid w:val="002B0BA3"/>
    <w:rsid w:val="002B1F10"/>
    <w:rsid w:val="002B58C6"/>
    <w:rsid w:val="002B7560"/>
    <w:rsid w:val="002B7B8F"/>
    <w:rsid w:val="002B7E18"/>
    <w:rsid w:val="002C1A03"/>
    <w:rsid w:val="002C2E1E"/>
    <w:rsid w:val="002D0222"/>
    <w:rsid w:val="002D0AE4"/>
    <w:rsid w:val="002D1C3E"/>
    <w:rsid w:val="002D4B7C"/>
    <w:rsid w:val="002E0C68"/>
    <w:rsid w:val="002E18B5"/>
    <w:rsid w:val="002E1B2C"/>
    <w:rsid w:val="002E5A78"/>
    <w:rsid w:val="00300C9D"/>
    <w:rsid w:val="00302C47"/>
    <w:rsid w:val="00302D8F"/>
    <w:rsid w:val="00302E8A"/>
    <w:rsid w:val="00311D7F"/>
    <w:rsid w:val="00311DAC"/>
    <w:rsid w:val="00311E73"/>
    <w:rsid w:val="003121EA"/>
    <w:rsid w:val="00313CED"/>
    <w:rsid w:val="00324AAE"/>
    <w:rsid w:val="00326E55"/>
    <w:rsid w:val="00327ED6"/>
    <w:rsid w:val="00333DF2"/>
    <w:rsid w:val="00334044"/>
    <w:rsid w:val="00334738"/>
    <w:rsid w:val="00335060"/>
    <w:rsid w:val="003365BB"/>
    <w:rsid w:val="00337F13"/>
    <w:rsid w:val="003403A2"/>
    <w:rsid w:val="003413EA"/>
    <w:rsid w:val="00351CE4"/>
    <w:rsid w:val="00354090"/>
    <w:rsid w:val="00354778"/>
    <w:rsid w:val="00356592"/>
    <w:rsid w:val="00357148"/>
    <w:rsid w:val="00366470"/>
    <w:rsid w:val="00391F0E"/>
    <w:rsid w:val="00393349"/>
    <w:rsid w:val="003937EB"/>
    <w:rsid w:val="003939AA"/>
    <w:rsid w:val="00394375"/>
    <w:rsid w:val="0039677C"/>
    <w:rsid w:val="003A10E7"/>
    <w:rsid w:val="003A1A6D"/>
    <w:rsid w:val="003A318B"/>
    <w:rsid w:val="003A3A75"/>
    <w:rsid w:val="003B5DEC"/>
    <w:rsid w:val="003C1258"/>
    <w:rsid w:val="003C467A"/>
    <w:rsid w:val="003C6CDD"/>
    <w:rsid w:val="003D4CE0"/>
    <w:rsid w:val="003E38A5"/>
    <w:rsid w:val="003E3DDC"/>
    <w:rsid w:val="003F477C"/>
    <w:rsid w:val="003F4BC0"/>
    <w:rsid w:val="003F6616"/>
    <w:rsid w:val="00404AFE"/>
    <w:rsid w:val="004057FB"/>
    <w:rsid w:val="004101EF"/>
    <w:rsid w:val="004108E1"/>
    <w:rsid w:val="00413CE2"/>
    <w:rsid w:val="004242F4"/>
    <w:rsid w:val="00430632"/>
    <w:rsid w:val="004337F4"/>
    <w:rsid w:val="004347BE"/>
    <w:rsid w:val="00434E4A"/>
    <w:rsid w:val="0045114B"/>
    <w:rsid w:val="004517B1"/>
    <w:rsid w:val="0045319C"/>
    <w:rsid w:val="00456F45"/>
    <w:rsid w:val="00457884"/>
    <w:rsid w:val="0046254C"/>
    <w:rsid w:val="004625F3"/>
    <w:rsid w:val="00467FC8"/>
    <w:rsid w:val="00473306"/>
    <w:rsid w:val="00474601"/>
    <w:rsid w:val="00474A78"/>
    <w:rsid w:val="0048261C"/>
    <w:rsid w:val="00483B2E"/>
    <w:rsid w:val="00483CA7"/>
    <w:rsid w:val="004858FA"/>
    <w:rsid w:val="00490317"/>
    <w:rsid w:val="00491BF0"/>
    <w:rsid w:val="00491E6C"/>
    <w:rsid w:val="00495C5D"/>
    <w:rsid w:val="004A2EC2"/>
    <w:rsid w:val="004A5FA5"/>
    <w:rsid w:val="004A6C9A"/>
    <w:rsid w:val="004B1052"/>
    <w:rsid w:val="004B1A7C"/>
    <w:rsid w:val="004B22AE"/>
    <w:rsid w:val="004B2372"/>
    <w:rsid w:val="004C3F9D"/>
    <w:rsid w:val="004D0B50"/>
    <w:rsid w:val="004D5FDE"/>
    <w:rsid w:val="004D6D17"/>
    <w:rsid w:val="004D7D7D"/>
    <w:rsid w:val="004E3DF0"/>
    <w:rsid w:val="004E61DC"/>
    <w:rsid w:val="004F36C4"/>
    <w:rsid w:val="00501D01"/>
    <w:rsid w:val="005055F7"/>
    <w:rsid w:val="00505F84"/>
    <w:rsid w:val="00510095"/>
    <w:rsid w:val="00512DF2"/>
    <w:rsid w:val="00516975"/>
    <w:rsid w:val="00517EC0"/>
    <w:rsid w:val="00523440"/>
    <w:rsid w:val="00524E04"/>
    <w:rsid w:val="0052637D"/>
    <w:rsid w:val="005308B5"/>
    <w:rsid w:val="00540C34"/>
    <w:rsid w:val="00546404"/>
    <w:rsid w:val="00547B91"/>
    <w:rsid w:val="005507DD"/>
    <w:rsid w:val="00552582"/>
    <w:rsid w:val="0055326A"/>
    <w:rsid w:val="005619EC"/>
    <w:rsid w:val="00563912"/>
    <w:rsid w:val="00566A87"/>
    <w:rsid w:val="0057011B"/>
    <w:rsid w:val="00570C35"/>
    <w:rsid w:val="00572713"/>
    <w:rsid w:val="0057327A"/>
    <w:rsid w:val="00573E0F"/>
    <w:rsid w:val="0057505C"/>
    <w:rsid w:val="005830A8"/>
    <w:rsid w:val="00583DA0"/>
    <w:rsid w:val="00586A89"/>
    <w:rsid w:val="00591F1D"/>
    <w:rsid w:val="00594005"/>
    <w:rsid w:val="005978F5"/>
    <w:rsid w:val="005A3000"/>
    <w:rsid w:val="005A4C8C"/>
    <w:rsid w:val="005A6FCF"/>
    <w:rsid w:val="005A71D7"/>
    <w:rsid w:val="005A7C52"/>
    <w:rsid w:val="005B2ED7"/>
    <w:rsid w:val="005B37B1"/>
    <w:rsid w:val="005B56AE"/>
    <w:rsid w:val="005C27D1"/>
    <w:rsid w:val="005C7A28"/>
    <w:rsid w:val="005C7B5D"/>
    <w:rsid w:val="005D0FF0"/>
    <w:rsid w:val="005D1DB6"/>
    <w:rsid w:val="005D3385"/>
    <w:rsid w:val="005D566A"/>
    <w:rsid w:val="005D6FFE"/>
    <w:rsid w:val="005E0EE6"/>
    <w:rsid w:val="005E647F"/>
    <w:rsid w:val="005F673D"/>
    <w:rsid w:val="00603B74"/>
    <w:rsid w:val="00605B35"/>
    <w:rsid w:val="0060684F"/>
    <w:rsid w:val="0061723C"/>
    <w:rsid w:val="00623810"/>
    <w:rsid w:val="00627CAD"/>
    <w:rsid w:val="00630A56"/>
    <w:rsid w:val="00632C11"/>
    <w:rsid w:val="00633FB1"/>
    <w:rsid w:val="00634435"/>
    <w:rsid w:val="00636A39"/>
    <w:rsid w:val="00641E95"/>
    <w:rsid w:val="00646C32"/>
    <w:rsid w:val="00652F90"/>
    <w:rsid w:val="00666CBE"/>
    <w:rsid w:val="00667337"/>
    <w:rsid w:val="00670801"/>
    <w:rsid w:val="00670D27"/>
    <w:rsid w:val="00671133"/>
    <w:rsid w:val="006730EE"/>
    <w:rsid w:val="0067494D"/>
    <w:rsid w:val="00686EC7"/>
    <w:rsid w:val="00686F2D"/>
    <w:rsid w:val="006871F4"/>
    <w:rsid w:val="00687880"/>
    <w:rsid w:val="00690068"/>
    <w:rsid w:val="00690319"/>
    <w:rsid w:val="006934BB"/>
    <w:rsid w:val="00693787"/>
    <w:rsid w:val="00696A6E"/>
    <w:rsid w:val="00697E63"/>
    <w:rsid w:val="006A1193"/>
    <w:rsid w:val="006B0369"/>
    <w:rsid w:val="006B2FCF"/>
    <w:rsid w:val="006C3673"/>
    <w:rsid w:val="006D13D8"/>
    <w:rsid w:val="006D4A99"/>
    <w:rsid w:val="006D4B5D"/>
    <w:rsid w:val="006E2522"/>
    <w:rsid w:val="006E4F29"/>
    <w:rsid w:val="006E6BE4"/>
    <w:rsid w:val="006E7566"/>
    <w:rsid w:val="006F169D"/>
    <w:rsid w:val="006F5111"/>
    <w:rsid w:val="00700E17"/>
    <w:rsid w:val="00704093"/>
    <w:rsid w:val="00706953"/>
    <w:rsid w:val="00710749"/>
    <w:rsid w:val="00711A4D"/>
    <w:rsid w:val="00713D74"/>
    <w:rsid w:val="0071632A"/>
    <w:rsid w:val="00716FE8"/>
    <w:rsid w:val="00717456"/>
    <w:rsid w:val="00717CBB"/>
    <w:rsid w:val="00722042"/>
    <w:rsid w:val="00723AD0"/>
    <w:rsid w:val="00724F6C"/>
    <w:rsid w:val="0072569A"/>
    <w:rsid w:val="00726AD6"/>
    <w:rsid w:val="007348C0"/>
    <w:rsid w:val="00734977"/>
    <w:rsid w:val="0073724D"/>
    <w:rsid w:val="0073737B"/>
    <w:rsid w:val="007402CE"/>
    <w:rsid w:val="007409AF"/>
    <w:rsid w:val="007423A3"/>
    <w:rsid w:val="007519EA"/>
    <w:rsid w:val="00751B59"/>
    <w:rsid w:val="007565C7"/>
    <w:rsid w:val="00757F85"/>
    <w:rsid w:val="00761097"/>
    <w:rsid w:val="00763596"/>
    <w:rsid w:val="007654B8"/>
    <w:rsid w:val="007662B9"/>
    <w:rsid w:val="007678B9"/>
    <w:rsid w:val="00775812"/>
    <w:rsid w:val="00790FCD"/>
    <w:rsid w:val="0079150F"/>
    <w:rsid w:val="00792413"/>
    <w:rsid w:val="00793350"/>
    <w:rsid w:val="007A2F50"/>
    <w:rsid w:val="007A4184"/>
    <w:rsid w:val="007B1DD7"/>
    <w:rsid w:val="007B60BD"/>
    <w:rsid w:val="007D4B1B"/>
    <w:rsid w:val="007E271F"/>
    <w:rsid w:val="007E3C6B"/>
    <w:rsid w:val="007E55B4"/>
    <w:rsid w:val="007E7C6C"/>
    <w:rsid w:val="007F1286"/>
    <w:rsid w:val="007F33A5"/>
    <w:rsid w:val="007F3BA7"/>
    <w:rsid w:val="007F76A1"/>
    <w:rsid w:val="007F7A37"/>
    <w:rsid w:val="0081484A"/>
    <w:rsid w:val="008160A4"/>
    <w:rsid w:val="008228B3"/>
    <w:rsid w:val="008262B4"/>
    <w:rsid w:val="00831828"/>
    <w:rsid w:val="00833792"/>
    <w:rsid w:val="00833EAB"/>
    <w:rsid w:val="008416BA"/>
    <w:rsid w:val="00845CAE"/>
    <w:rsid w:val="00850AEC"/>
    <w:rsid w:val="00853419"/>
    <w:rsid w:val="0085651E"/>
    <w:rsid w:val="00863453"/>
    <w:rsid w:val="00864469"/>
    <w:rsid w:val="00876F92"/>
    <w:rsid w:val="008853CB"/>
    <w:rsid w:val="00886957"/>
    <w:rsid w:val="00886F82"/>
    <w:rsid w:val="0089069A"/>
    <w:rsid w:val="00893E5F"/>
    <w:rsid w:val="00897789"/>
    <w:rsid w:val="00897F81"/>
    <w:rsid w:val="008A607D"/>
    <w:rsid w:val="008B3A15"/>
    <w:rsid w:val="008B5D15"/>
    <w:rsid w:val="008C573D"/>
    <w:rsid w:val="008C7BC6"/>
    <w:rsid w:val="008D3327"/>
    <w:rsid w:val="008D46D6"/>
    <w:rsid w:val="008D5172"/>
    <w:rsid w:val="008D77FE"/>
    <w:rsid w:val="008E5B87"/>
    <w:rsid w:val="008F3E68"/>
    <w:rsid w:val="008F4033"/>
    <w:rsid w:val="008F60A0"/>
    <w:rsid w:val="008F61F2"/>
    <w:rsid w:val="008F690C"/>
    <w:rsid w:val="0090079F"/>
    <w:rsid w:val="00903EC5"/>
    <w:rsid w:val="009141A9"/>
    <w:rsid w:val="00920B34"/>
    <w:rsid w:val="009229E9"/>
    <w:rsid w:val="00927219"/>
    <w:rsid w:val="00930BAC"/>
    <w:rsid w:val="009315D5"/>
    <w:rsid w:val="009336EC"/>
    <w:rsid w:val="00936125"/>
    <w:rsid w:val="009361F0"/>
    <w:rsid w:val="00943583"/>
    <w:rsid w:val="0094491B"/>
    <w:rsid w:val="009452D9"/>
    <w:rsid w:val="00945FA3"/>
    <w:rsid w:val="00950102"/>
    <w:rsid w:val="00953657"/>
    <w:rsid w:val="009542BB"/>
    <w:rsid w:val="0096360A"/>
    <w:rsid w:val="00965674"/>
    <w:rsid w:val="009709D3"/>
    <w:rsid w:val="0097144B"/>
    <w:rsid w:val="0097247B"/>
    <w:rsid w:val="00976810"/>
    <w:rsid w:val="00980E8D"/>
    <w:rsid w:val="00981C0A"/>
    <w:rsid w:val="00983792"/>
    <w:rsid w:val="009859A4"/>
    <w:rsid w:val="009966D1"/>
    <w:rsid w:val="00997A0E"/>
    <w:rsid w:val="009A1375"/>
    <w:rsid w:val="009A3EA9"/>
    <w:rsid w:val="009A6571"/>
    <w:rsid w:val="009B30C0"/>
    <w:rsid w:val="009B4FE9"/>
    <w:rsid w:val="009B66CE"/>
    <w:rsid w:val="009C3743"/>
    <w:rsid w:val="009D0089"/>
    <w:rsid w:val="009D1853"/>
    <w:rsid w:val="009D3686"/>
    <w:rsid w:val="009D4D82"/>
    <w:rsid w:val="009E1C09"/>
    <w:rsid w:val="009E58DF"/>
    <w:rsid w:val="009F27F5"/>
    <w:rsid w:val="00A032EE"/>
    <w:rsid w:val="00A03EF3"/>
    <w:rsid w:val="00A054E4"/>
    <w:rsid w:val="00A05CF3"/>
    <w:rsid w:val="00A110C9"/>
    <w:rsid w:val="00A11F7C"/>
    <w:rsid w:val="00A138CC"/>
    <w:rsid w:val="00A15712"/>
    <w:rsid w:val="00A15FD4"/>
    <w:rsid w:val="00A17FFC"/>
    <w:rsid w:val="00A254F2"/>
    <w:rsid w:val="00A31E55"/>
    <w:rsid w:val="00A34525"/>
    <w:rsid w:val="00A36E2C"/>
    <w:rsid w:val="00A413C9"/>
    <w:rsid w:val="00A51817"/>
    <w:rsid w:val="00A5771E"/>
    <w:rsid w:val="00A62EF7"/>
    <w:rsid w:val="00A632DE"/>
    <w:rsid w:val="00A668A9"/>
    <w:rsid w:val="00A7048D"/>
    <w:rsid w:val="00A74845"/>
    <w:rsid w:val="00A927D7"/>
    <w:rsid w:val="00A96676"/>
    <w:rsid w:val="00A96EC9"/>
    <w:rsid w:val="00A9700A"/>
    <w:rsid w:val="00A971E3"/>
    <w:rsid w:val="00AA7C28"/>
    <w:rsid w:val="00AB092B"/>
    <w:rsid w:val="00AB0E00"/>
    <w:rsid w:val="00AB2516"/>
    <w:rsid w:val="00AB32F5"/>
    <w:rsid w:val="00AB3E4B"/>
    <w:rsid w:val="00AB590D"/>
    <w:rsid w:val="00AB5BEC"/>
    <w:rsid w:val="00AB759A"/>
    <w:rsid w:val="00AC0A63"/>
    <w:rsid w:val="00AC196B"/>
    <w:rsid w:val="00AC35E3"/>
    <w:rsid w:val="00AC44B2"/>
    <w:rsid w:val="00AC65E5"/>
    <w:rsid w:val="00AD2528"/>
    <w:rsid w:val="00AD4B46"/>
    <w:rsid w:val="00AE5D41"/>
    <w:rsid w:val="00AE6694"/>
    <w:rsid w:val="00AF34F3"/>
    <w:rsid w:val="00AF4742"/>
    <w:rsid w:val="00AF7A16"/>
    <w:rsid w:val="00B059B3"/>
    <w:rsid w:val="00B07FC8"/>
    <w:rsid w:val="00B11637"/>
    <w:rsid w:val="00B1789A"/>
    <w:rsid w:val="00B23702"/>
    <w:rsid w:val="00B24D07"/>
    <w:rsid w:val="00B27894"/>
    <w:rsid w:val="00B3199D"/>
    <w:rsid w:val="00B34C43"/>
    <w:rsid w:val="00B34CCE"/>
    <w:rsid w:val="00B42240"/>
    <w:rsid w:val="00B450DC"/>
    <w:rsid w:val="00B46B21"/>
    <w:rsid w:val="00B52381"/>
    <w:rsid w:val="00B54886"/>
    <w:rsid w:val="00B63BE6"/>
    <w:rsid w:val="00B64634"/>
    <w:rsid w:val="00B65FA6"/>
    <w:rsid w:val="00B67257"/>
    <w:rsid w:val="00B715D6"/>
    <w:rsid w:val="00B81488"/>
    <w:rsid w:val="00B84275"/>
    <w:rsid w:val="00B84D74"/>
    <w:rsid w:val="00B90FED"/>
    <w:rsid w:val="00BA18B8"/>
    <w:rsid w:val="00BB0F03"/>
    <w:rsid w:val="00BB1F32"/>
    <w:rsid w:val="00BB7E90"/>
    <w:rsid w:val="00BC539A"/>
    <w:rsid w:val="00BD2FF8"/>
    <w:rsid w:val="00BE0E6C"/>
    <w:rsid w:val="00BE2458"/>
    <w:rsid w:val="00BE4D10"/>
    <w:rsid w:val="00BE5C92"/>
    <w:rsid w:val="00BF508F"/>
    <w:rsid w:val="00BF7818"/>
    <w:rsid w:val="00C02238"/>
    <w:rsid w:val="00C03D3D"/>
    <w:rsid w:val="00C16A68"/>
    <w:rsid w:val="00C266ED"/>
    <w:rsid w:val="00C275E0"/>
    <w:rsid w:val="00C27869"/>
    <w:rsid w:val="00C30DF3"/>
    <w:rsid w:val="00C46AC1"/>
    <w:rsid w:val="00C51894"/>
    <w:rsid w:val="00C52664"/>
    <w:rsid w:val="00C56A90"/>
    <w:rsid w:val="00C61B63"/>
    <w:rsid w:val="00C62279"/>
    <w:rsid w:val="00C654D3"/>
    <w:rsid w:val="00C73C69"/>
    <w:rsid w:val="00C7463B"/>
    <w:rsid w:val="00C75387"/>
    <w:rsid w:val="00C80AF3"/>
    <w:rsid w:val="00C83EDE"/>
    <w:rsid w:val="00C85FAA"/>
    <w:rsid w:val="00C87B2C"/>
    <w:rsid w:val="00C93B47"/>
    <w:rsid w:val="00CA039B"/>
    <w:rsid w:val="00CA0648"/>
    <w:rsid w:val="00CA0F76"/>
    <w:rsid w:val="00CA6193"/>
    <w:rsid w:val="00CB5017"/>
    <w:rsid w:val="00CB7666"/>
    <w:rsid w:val="00CC30B2"/>
    <w:rsid w:val="00CC4256"/>
    <w:rsid w:val="00CC59F0"/>
    <w:rsid w:val="00CC5BF4"/>
    <w:rsid w:val="00CC5D47"/>
    <w:rsid w:val="00CC7935"/>
    <w:rsid w:val="00CD00FD"/>
    <w:rsid w:val="00CD054E"/>
    <w:rsid w:val="00CE0C99"/>
    <w:rsid w:val="00CE197D"/>
    <w:rsid w:val="00CE242C"/>
    <w:rsid w:val="00CE2BC7"/>
    <w:rsid w:val="00CF18F6"/>
    <w:rsid w:val="00CF4DE8"/>
    <w:rsid w:val="00D03FCB"/>
    <w:rsid w:val="00D0465D"/>
    <w:rsid w:val="00D103A5"/>
    <w:rsid w:val="00D11847"/>
    <w:rsid w:val="00D13B4D"/>
    <w:rsid w:val="00D1498E"/>
    <w:rsid w:val="00D157F1"/>
    <w:rsid w:val="00D15B5E"/>
    <w:rsid w:val="00D16503"/>
    <w:rsid w:val="00D16623"/>
    <w:rsid w:val="00D213FC"/>
    <w:rsid w:val="00D22FB5"/>
    <w:rsid w:val="00D3250B"/>
    <w:rsid w:val="00D33428"/>
    <w:rsid w:val="00D33B5F"/>
    <w:rsid w:val="00D41274"/>
    <w:rsid w:val="00D41E50"/>
    <w:rsid w:val="00D427F0"/>
    <w:rsid w:val="00D43CD4"/>
    <w:rsid w:val="00D45EAE"/>
    <w:rsid w:val="00D47E9D"/>
    <w:rsid w:val="00D525D8"/>
    <w:rsid w:val="00D539DC"/>
    <w:rsid w:val="00D55D2C"/>
    <w:rsid w:val="00D67CB6"/>
    <w:rsid w:val="00D713EA"/>
    <w:rsid w:val="00D72487"/>
    <w:rsid w:val="00D751E6"/>
    <w:rsid w:val="00D759D0"/>
    <w:rsid w:val="00D77447"/>
    <w:rsid w:val="00D82686"/>
    <w:rsid w:val="00D82C8C"/>
    <w:rsid w:val="00D84041"/>
    <w:rsid w:val="00D84073"/>
    <w:rsid w:val="00D86731"/>
    <w:rsid w:val="00D87276"/>
    <w:rsid w:val="00DA4C5D"/>
    <w:rsid w:val="00DA75A6"/>
    <w:rsid w:val="00DA76D9"/>
    <w:rsid w:val="00DB07EA"/>
    <w:rsid w:val="00DB2F74"/>
    <w:rsid w:val="00DB58B3"/>
    <w:rsid w:val="00DC1AA1"/>
    <w:rsid w:val="00DC3EB9"/>
    <w:rsid w:val="00DC5F0C"/>
    <w:rsid w:val="00DD1CD1"/>
    <w:rsid w:val="00DD6F4C"/>
    <w:rsid w:val="00DE4363"/>
    <w:rsid w:val="00DE6083"/>
    <w:rsid w:val="00DE7C1D"/>
    <w:rsid w:val="00DF1452"/>
    <w:rsid w:val="00DF1D04"/>
    <w:rsid w:val="00DF20A5"/>
    <w:rsid w:val="00DF6312"/>
    <w:rsid w:val="00DF7C4A"/>
    <w:rsid w:val="00E01393"/>
    <w:rsid w:val="00E0574D"/>
    <w:rsid w:val="00E10FAA"/>
    <w:rsid w:val="00E12299"/>
    <w:rsid w:val="00E16331"/>
    <w:rsid w:val="00E16C26"/>
    <w:rsid w:val="00E20B98"/>
    <w:rsid w:val="00E22599"/>
    <w:rsid w:val="00E25139"/>
    <w:rsid w:val="00E33639"/>
    <w:rsid w:val="00E33DD6"/>
    <w:rsid w:val="00E34751"/>
    <w:rsid w:val="00E36231"/>
    <w:rsid w:val="00E501EA"/>
    <w:rsid w:val="00E50595"/>
    <w:rsid w:val="00E53209"/>
    <w:rsid w:val="00E5458D"/>
    <w:rsid w:val="00E545F5"/>
    <w:rsid w:val="00E56C4E"/>
    <w:rsid w:val="00E63875"/>
    <w:rsid w:val="00E651B5"/>
    <w:rsid w:val="00E70F33"/>
    <w:rsid w:val="00E90966"/>
    <w:rsid w:val="00E92BA0"/>
    <w:rsid w:val="00E9480C"/>
    <w:rsid w:val="00EA2DA2"/>
    <w:rsid w:val="00EA6D2A"/>
    <w:rsid w:val="00EA7933"/>
    <w:rsid w:val="00EB35E0"/>
    <w:rsid w:val="00ED27FC"/>
    <w:rsid w:val="00ED3212"/>
    <w:rsid w:val="00ED407D"/>
    <w:rsid w:val="00ED41DD"/>
    <w:rsid w:val="00ED4584"/>
    <w:rsid w:val="00EE39E5"/>
    <w:rsid w:val="00EE3F14"/>
    <w:rsid w:val="00EE4C41"/>
    <w:rsid w:val="00EE67D8"/>
    <w:rsid w:val="00EE686C"/>
    <w:rsid w:val="00EE7CEB"/>
    <w:rsid w:val="00EF2B39"/>
    <w:rsid w:val="00EF7442"/>
    <w:rsid w:val="00F012FB"/>
    <w:rsid w:val="00F04A2B"/>
    <w:rsid w:val="00F075C6"/>
    <w:rsid w:val="00F07B97"/>
    <w:rsid w:val="00F11926"/>
    <w:rsid w:val="00F12FB6"/>
    <w:rsid w:val="00F2420C"/>
    <w:rsid w:val="00F30605"/>
    <w:rsid w:val="00F3745A"/>
    <w:rsid w:val="00F43837"/>
    <w:rsid w:val="00F43948"/>
    <w:rsid w:val="00F46191"/>
    <w:rsid w:val="00F55CDF"/>
    <w:rsid w:val="00F71A7E"/>
    <w:rsid w:val="00F73F16"/>
    <w:rsid w:val="00F74238"/>
    <w:rsid w:val="00F74D23"/>
    <w:rsid w:val="00F929F7"/>
    <w:rsid w:val="00F96B39"/>
    <w:rsid w:val="00F9716A"/>
    <w:rsid w:val="00FA0B78"/>
    <w:rsid w:val="00FA1A82"/>
    <w:rsid w:val="00FA5E88"/>
    <w:rsid w:val="00FA7B3E"/>
    <w:rsid w:val="00FA7ECA"/>
    <w:rsid w:val="00FB3D07"/>
    <w:rsid w:val="00FB4A53"/>
    <w:rsid w:val="00FB4CB1"/>
    <w:rsid w:val="00FC0644"/>
    <w:rsid w:val="00FC3C34"/>
    <w:rsid w:val="00FC6BF3"/>
    <w:rsid w:val="00FC7068"/>
    <w:rsid w:val="00FD468D"/>
    <w:rsid w:val="00FD759F"/>
    <w:rsid w:val="00FE3300"/>
    <w:rsid w:val="00FE6D75"/>
    <w:rsid w:val="00FF3A83"/>
    <w:rsid w:val="00FF3A8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482F6"/>
  <w15:docId w15:val="{BF526068-0B35-4E63-9321-C82660F7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516"/>
    <w:rPr>
      <w:rFonts w:asciiTheme="minorHAnsi" w:hAnsiTheme="minorHAnsi"/>
      <w:szCs w:val="24"/>
    </w:rPr>
  </w:style>
  <w:style w:type="paragraph" w:styleId="Heading1">
    <w:name w:val="heading 1"/>
    <w:basedOn w:val="Normal"/>
    <w:next w:val="Normal"/>
    <w:link w:val="Heading1Char"/>
    <w:qFormat/>
    <w:rsid w:val="00853419"/>
    <w:pPr>
      <w:keepNext/>
      <w:numPr>
        <w:numId w:val="19"/>
      </w:numPr>
      <w:outlineLvl w:val="0"/>
    </w:pPr>
    <w:rPr>
      <w:rFonts w:cs="Arial"/>
      <w:b/>
      <w:bCs/>
      <w:kern w:val="32"/>
      <w:szCs w:val="32"/>
    </w:rPr>
  </w:style>
  <w:style w:type="paragraph" w:styleId="Heading2">
    <w:name w:val="heading 2"/>
    <w:basedOn w:val="Normal"/>
    <w:next w:val="Normal"/>
    <w:link w:val="Heading2Char"/>
    <w:unhideWhenUsed/>
    <w:qFormat/>
    <w:locked/>
    <w:rsid w:val="00AB2516"/>
    <w:pPr>
      <w:keepNext/>
      <w:numPr>
        <w:numId w:val="20"/>
      </w:numPr>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419"/>
    <w:rPr>
      <w:rFonts w:asciiTheme="minorHAnsi" w:hAnsiTheme="minorHAnsi" w:cs="Arial"/>
      <w:b/>
      <w:bCs/>
      <w:kern w:val="32"/>
      <w:szCs w:val="32"/>
    </w:rPr>
  </w:style>
  <w:style w:type="table" w:styleId="TableGrid">
    <w:name w:val="Table Grid"/>
    <w:basedOn w:val="TableNormal"/>
    <w:uiPriority w:val="59"/>
    <w:rsid w:val="00D7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3F16"/>
    <w:rPr>
      <w:rFonts w:ascii="Arial" w:hAnsi="Arial" w:cs="Times New Roman"/>
      <w:color w:val="0000FF"/>
      <w:sz w:val="20"/>
      <w:u w:val="single"/>
    </w:rPr>
  </w:style>
  <w:style w:type="paragraph" w:styleId="Header">
    <w:name w:val="header"/>
    <w:basedOn w:val="Normal"/>
    <w:link w:val="HeaderChar"/>
    <w:rsid w:val="00D67CB6"/>
    <w:pPr>
      <w:tabs>
        <w:tab w:val="center" w:pos="4153"/>
        <w:tab w:val="right" w:pos="8306"/>
      </w:tabs>
    </w:pPr>
  </w:style>
  <w:style w:type="character" w:customStyle="1" w:styleId="HeaderChar">
    <w:name w:val="Header Char"/>
    <w:link w:val="Header"/>
    <w:uiPriority w:val="99"/>
    <w:semiHidden/>
    <w:rsid w:val="003642DF"/>
    <w:rPr>
      <w:sz w:val="24"/>
      <w:szCs w:val="24"/>
    </w:rPr>
  </w:style>
  <w:style w:type="paragraph" w:styleId="Footer">
    <w:name w:val="footer"/>
    <w:basedOn w:val="Normal"/>
    <w:link w:val="FooterChar"/>
    <w:uiPriority w:val="99"/>
    <w:rsid w:val="00D67CB6"/>
    <w:pPr>
      <w:tabs>
        <w:tab w:val="center" w:pos="4153"/>
        <w:tab w:val="right" w:pos="8306"/>
      </w:tabs>
    </w:pPr>
  </w:style>
  <w:style w:type="character" w:customStyle="1" w:styleId="FooterChar">
    <w:name w:val="Footer Char"/>
    <w:link w:val="Footer"/>
    <w:uiPriority w:val="99"/>
    <w:locked/>
    <w:rsid w:val="001345A0"/>
    <w:rPr>
      <w:sz w:val="24"/>
    </w:rPr>
  </w:style>
  <w:style w:type="character" w:styleId="PageNumber">
    <w:name w:val="page number"/>
    <w:uiPriority w:val="99"/>
    <w:rsid w:val="00D67CB6"/>
    <w:rPr>
      <w:rFonts w:cs="Times New Roman"/>
    </w:rPr>
  </w:style>
  <w:style w:type="paragraph" w:styleId="BodyText">
    <w:name w:val="Body Text"/>
    <w:basedOn w:val="Normal"/>
    <w:link w:val="BodyTextChar"/>
    <w:uiPriority w:val="99"/>
    <w:rsid w:val="00F73F16"/>
    <w:pPr>
      <w:widowControl w:val="0"/>
    </w:pPr>
    <w:rPr>
      <w:rFonts w:ascii="Arial" w:hAnsi="Arial"/>
      <w:color w:val="000000"/>
      <w:szCs w:val="20"/>
      <w:lang w:eastAsia="en-US"/>
    </w:rPr>
  </w:style>
  <w:style w:type="character" w:customStyle="1" w:styleId="BodyTextChar">
    <w:name w:val="Body Text Char"/>
    <w:link w:val="BodyText"/>
    <w:uiPriority w:val="99"/>
    <w:semiHidden/>
    <w:rsid w:val="003642DF"/>
    <w:rPr>
      <w:sz w:val="24"/>
      <w:szCs w:val="24"/>
    </w:rPr>
  </w:style>
  <w:style w:type="paragraph" w:customStyle="1" w:styleId="TableText">
    <w:name w:val="Table Text"/>
    <w:uiPriority w:val="99"/>
    <w:rsid w:val="00F73F16"/>
    <w:pPr>
      <w:widowControl w:val="0"/>
    </w:pPr>
    <w:rPr>
      <w:color w:val="000000"/>
      <w:sz w:val="24"/>
      <w:lang w:eastAsia="en-US"/>
    </w:rPr>
  </w:style>
  <w:style w:type="paragraph" w:styleId="TOC1">
    <w:name w:val="toc 1"/>
    <w:basedOn w:val="Normal"/>
    <w:next w:val="Normal"/>
    <w:autoRedefine/>
    <w:uiPriority w:val="39"/>
    <w:rsid w:val="00357148"/>
    <w:pPr>
      <w:tabs>
        <w:tab w:val="left" w:pos="720"/>
        <w:tab w:val="right" w:leader="dot" w:pos="8296"/>
      </w:tabs>
      <w:spacing w:line="360" w:lineRule="auto"/>
      <w:ind w:left="709" w:hanging="709"/>
    </w:pPr>
    <w:rPr>
      <w:rFonts w:ascii="Arial" w:hAnsi="Arial"/>
      <w:noProof/>
    </w:rPr>
  </w:style>
  <w:style w:type="paragraph" w:customStyle="1" w:styleId="Default">
    <w:name w:val="Default"/>
    <w:uiPriority w:val="99"/>
    <w:rsid w:val="00A62EF7"/>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C275E0"/>
    <w:rPr>
      <w:rFonts w:cs="Times New Roman"/>
      <w:sz w:val="16"/>
    </w:rPr>
  </w:style>
  <w:style w:type="paragraph" w:styleId="CommentText">
    <w:name w:val="annotation text"/>
    <w:basedOn w:val="Normal"/>
    <w:link w:val="CommentTextChar"/>
    <w:uiPriority w:val="99"/>
    <w:rsid w:val="00C275E0"/>
    <w:rPr>
      <w:szCs w:val="20"/>
    </w:rPr>
  </w:style>
  <w:style w:type="character" w:customStyle="1" w:styleId="CommentTextChar">
    <w:name w:val="Comment Text Char"/>
    <w:link w:val="CommentText"/>
    <w:uiPriority w:val="99"/>
    <w:locked/>
    <w:rsid w:val="00C275E0"/>
    <w:rPr>
      <w:rFonts w:cs="Times New Roman"/>
    </w:rPr>
  </w:style>
  <w:style w:type="paragraph" w:styleId="CommentSubject">
    <w:name w:val="annotation subject"/>
    <w:basedOn w:val="CommentText"/>
    <w:next w:val="CommentText"/>
    <w:link w:val="CommentSubjectChar"/>
    <w:uiPriority w:val="99"/>
    <w:rsid w:val="00C275E0"/>
    <w:rPr>
      <w:b/>
      <w:bCs/>
    </w:rPr>
  </w:style>
  <w:style w:type="character" w:customStyle="1" w:styleId="CommentSubjectChar">
    <w:name w:val="Comment Subject Char"/>
    <w:link w:val="CommentSubject"/>
    <w:uiPriority w:val="99"/>
    <w:locked/>
    <w:rsid w:val="00C275E0"/>
    <w:rPr>
      <w:rFonts w:cs="Times New Roman"/>
      <w:b/>
    </w:rPr>
  </w:style>
  <w:style w:type="paragraph" w:styleId="Revision">
    <w:name w:val="Revision"/>
    <w:hidden/>
    <w:uiPriority w:val="99"/>
    <w:semiHidden/>
    <w:rsid w:val="00C275E0"/>
    <w:rPr>
      <w:sz w:val="24"/>
      <w:szCs w:val="24"/>
    </w:rPr>
  </w:style>
  <w:style w:type="paragraph" w:styleId="BalloonText">
    <w:name w:val="Balloon Text"/>
    <w:basedOn w:val="Normal"/>
    <w:link w:val="BalloonTextChar"/>
    <w:uiPriority w:val="99"/>
    <w:rsid w:val="00C275E0"/>
    <w:rPr>
      <w:rFonts w:ascii="Tahoma" w:hAnsi="Tahoma"/>
      <w:sz w:val="16"/>
      <w:szCs w:val="16"/>
    </w:rPr>
  </w:style>
  <w:style w:type="character" w:customStyle="1" w:styleId="BalloonTextChar">
    <w:name w:val="Balloon Text Char"/>
    <w:link w:val="BalloonText"/>
    <w:uiPriority w:val="99"/>
    <w:locked/>
    <w:rsid w:val="00C275E0"/>
    <w:rPr>
      <w:rFonts w:ascii="Tahoma" w:hAnsi="Tahoma"/>
      <w:sz w:val="16"/>
    </w:rPr>
  </w:style>
  <w:style w:type="paragraph" w:styleId="ListParagraph">
    <w:name w:val="List Paragraph"/>
    <w:basedOn w:val="Normal"/>
    <w:uiPriority w:val="34"/>
    <w:qFormat/>
    <w:rsid w:val="00ED4584"/>
    <w:pPr>
      <w:ind w:left="720"/>
    </w:pPr>
  </w:style>
  <w:style w:type="paragraph" w:styleId="TOC2">
    <w:name w:val="toc 2"/>
    <w:basedOn w:val="Normal"/>
    <w:next w:val="Normal"/>
    <w:autoRedefine/>
    <w:uiPriority w:val="39"/>
    <w:unhideWhenUsed/>
    <w:rsid w:val="00853419"/>
    <w:pPr>
      <w:spacing w:after="100"/>
      <w:ind w:left="200"/>
    </w:pPr>
  </w:style>
  <w:style w:type="character" w:customStyle="1" w:styleId="Heading2Char">
    <w:name w:val="Heading 2 Char"/>
    <w:basedOn w:val="DefaultParagraphFont"/>
    <w:link w:val="Heading2"/>
    <w:rsid w:val="00AB2516"/>
    <w:rPr>
      <w:rFonts w:asciiTheme="minorHAnsi" w:eastAsiaTheme="majorEastAsia" w:hAnsiTheme="minorHAnsi" w:cstheme="majorBidi"/>
      <w:b/>
      <w:bCs/>
      <w:i/>
      <w:iCs/>
      <w:szCs w:val="28"/>
    </w:rPr>
  </w:style>
  <w:style w:type="paragraph" w:styleId="List2">
    <w:name w:val="List 2"/>
    <w:basedOn w:val="Normal"/>
    <w:rsid w:val="00793350"/>
    <w:pPr>
      <w:ind w:left="566" w:hanging="283"/>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1726">
      <w:bodyDiv w:val="1"/>
      <w:marLeft w:val="0"/>
      <w:marRight w:val="0"/>
      <w:marTop w:val="0"/>
      <w:marBottom w:val="0"/>
      <w:divBdr>
        <w:top w:val="none" w:sz="0" w:space="0" w:color="auto"/>
        <w:left w:val="none" w:sz="0" w:space="0" w:color="auto"/>
        <w:bottom w:val="none" w:sz="0" w:space="0" w:color="auto"/>
        <w:right w:val="none" w:sz="0" w:space="0" w:color="auto"/>
      </w:divBdr>
    </w:div>
    <w:div w:id="1982072183">
      <w:bodyDiv w:val="1"/>
      <w:marLeft w:val="0"/>
      <w:marRight w:val="0"/>
      <w:marTop w:val="0"/>
      <w:marBottom w:val="0"/>
      <w:divBdr>
        <w:top w:val="none" w:sz="0" w:space="0" w:color="auto"/>
        <w:left w:val="none" w:sz="0" w:space="0" w:color="auto"/>
        <w:bottom w:val="none" w:sz="0" w:space="0" w:color="auto"/>
        <w:right w:val="none" w:sz="0" w:space="0" w:color="auto"/>
      </w:divBdr>
      <w:divsChild>
        <w:div w:id="2007634368">
          <w:marLeft w:val="0"/>
          <w:marRight w:val="0"/>
          <w:marTop w:val="0"/>
          <w:marBottom w:val="0"/>
          <w:divBdr>
            <w:top w:val="none" w:sz="0" w:space="0" w:color="auto"/>
            <w:left w:val="none" w:sz="0" w:space="0" w:color="auto"/>
            <w:bottom w:val="none" w:sz="0" w:space="0" w:color="auto"/>
            <w:right w:val="none" w:sz="0" w:space="0" w:color="auto"/>
          </w:divBdr>
          <w:divsChild>
            <w:div w:id="184681529">
              <w:marLeft w:val="0"/>
              <w:marRight w:val="0"/>
              <w:marTop w:val="0"/>
              <w:marBottom w:val="0"/>
              <w:divBdr>
                <w:top w:val="none" w:sz="0" w:space="0" w:color="auto"/>
                <w:left w:val="none" w:sz="0" w:space="0" w:color="auto"/>
                <w:bottom w:val="none" w:sz="0" w:space="0" w:color="auto"/>
                <w:right w:val="none" w:sz="0" w:space="0" w:color="auto"/>
              </w:divBdr>
              <w:divsChild>
                <w:div w:id="2010012682">
                  <w:marLeft w:val="0"/>
                  <w:marRight w:val="0"/>
                  <w:marTop w:val="0"/>
                  <w:marBottom w:val="0"/>
                  <w:divBdr>
                    <w:top w:val="none" w:sz="0" w:space="0" w:color="auto"/>
                    <w:left w:val="none" w:sz="0" w:space="0" w:color="auto"/>
                    <w:bottom w:val="none" w:sz="0" w:space="0" w:color="auto"/>
                    <w:right w:val="none" w:sz="0" w:space="0" w:color="auto"/>
                  </w:divBdr>
                  <w:divsChild>
                    <w:div w:id="1139222230">
                      <w:marLeft w:val="0"/>
                      <w:marRight w:val="0"/>
                      <w:marTop w:val="0"/>
                      <w:marBottom w:val="0"/>
                      <w:divBdr>
                        <w:top w:val="none" w:sz="0" w:space="0" w:color="auto"/>
                        <w:left w:val="none" w:sz="0" w:space="0" w:color="auto"/>
                        <w:bottom w:val="none" w:sz="0" w:space="0" w:color="auto"/>
                        <w:right w:val="none" w:sz="0" w:space="0" w:color="auto"/>
                      </w:divBdr>
                      <w:divsChild>
                        <w:div w:id="1166673695">
                          <w:marLeft w:val="0"/>
                          <w:marRight w:val="0"/>
                          <w:marTop w:val="0"/>
                          <w:marBottom w:val="0"/>
                          <w:divBdr>
                            <w:top w:val="none" w:sz="0" w:space="0" w:color="auto"/>
                            <w:left w:val="none" w:sz="0" w:space="0" w:color="auto"/>
                            <w:bottom w:val="none" w:sz="0" w:space="0" w:color="auto"/>
                            <w:right w:val="none" w:sz="0" w:space="0" w:color="auto"/>
                          </w:divBdr>
                          <w:divsChild>
                            <w:div w:id="1017077521">
                              <w:marLeft w:val="0"/>
                              <w:marRight w:val="0"/>
                              <w:marTop w:val="0"/>
                              <w:marBottom w:val="0"/>
                              <w:divBdr>
                                <w:top w:val="none" w:sz="0" w:space="0" w:color="auto"/>
                                <w:left w:val="none" w:sz="0" w:space="0" w:color="auto"/>
                                <w:bottom w:val="none" w:sz="0" w:space="0" w:color="auto"/>
                                <w:right w:val="none" w:sz="0" w:space="0" w:color="auto"/>
                              </w:divBdr>
                              <w:divsChild>
                                <w:div w:id="1229729383">
                                  <w:marLeft w:val="0"/>
                                  <w:marRight w:val="0"/>
                                  <w:marTop w:val="0"/>
                                  <w:marBottom w:val="0"/>
                                  <w:divBdr>
                                    <w:top w:val="none" w:sz="0" w:space="0" w:color="auto"/>
                                    <w:left w:val="none" w:sz="0" w:space="0" w:color="auto"/>
                                    <w:bottom w:val="none" w:sz="0" w:space="0" w:color="auto"/>
                                    <w:right w:val="none" w:sz="0" w:space="0" w:color="auto"/>
                                  </w:divBdr>
                                  <w:divsChild>
                                    <w:div w:id="805897712">
                                      <w:marLeft w:val="0"/>
                                      <w:marRight w:val="0"/>
                                      <w:marTop w:val="0"/>
                                      <w:marBottom w:val="0"/>
                                      <w:divBdr>
                                        <w:top w:val="none" w:sz="0" w:space="0" w:color="auto"/>
                                        <w:left w:val="none" w:sz="0" w:space="0" w:color="auto"/>
                                        <w:bottom w:val="none" w:sz="0" w:space="0" w:color="auto"/>
                                        <w:right w:val="none" w:sz="0" w:space="0" w:color="auto"/>
                                      </w:divBdr>
                                      <w:divsChild>
                                        <w:div w:id="993413176">
                                          <w:marLeft w:val="0"/>
                                          <w:marRight w:val="0"/>
                                          <w:marTop w:val="0"/>
                                          <w:marBottom w:val="0"/>
                                          <w:divBdr>
                                            <w:top w:val="none" w:sz="0" w:space="0" w:color="auto"/>
                                            <w:left w:val="none" w:sz="0" w:space="0" w:color="auto"/>
                                            <w:bottom w:val="none" w:sz="0" w:space="0" w:color="auto"/>
                                            <w:right w:val="none" w:sz="0" w:space="0" w:color="auto"/>
                                          </w:divBdr>
                                          <w:divsChild>
                                            <w:div w:id="860164806">
                                              <w:marLeft w:val="0"/>
                                              <w:marRight w:val="0"/>
                                              <w:marTop w:val="0"/>
                                              <w:marBottom w:val="0"/>
                                              <w:divBdr>
                                                <w:top w:val="none" w:sz="0" w:space="0" w:color="auto"/>
                                                <w:left w:val="none" w:sz="0" w:space="0" w:color="auto"/>
                                                <w:bottom w:val="none" w:sz="0" w:space="0" w:color="auto"/>
                                                <w:right w:val="none" w:sz="0" w:space="0" w:color="auto"/>
                                              </w:divBdr>
                                              <w:divsChild>
                                                <w:div w:id="238950893">
                                                  <w:marLeft w:val="0"/>
                                                  <w:marRight w:val="0"/>
                                                  <w:marTop w:val="0"/>
                                                  <w:marBottom w:val="0"/>
                                                  <w:divBdr>
                                                    <w:top w:val="none" w:sz="0" w:space="0" w:color="auto"/>
                                                    <w:left w:val="none" w:sz="0" w:space="0" w:color="auto"/>
                                                    <w:bottom w:val="none" w:sz="0" w:space="0" w:color="auto"/>
                                                    <w:right w:val="none" w:sz="0" w:space="0" w:color="auto"/>
                                                  </w:divBdr>
                                                  <w:divsChild>
                                                    <w:div w:id="1553536552">
                                                      <w:marLeft w:val="0"/>
                                                      <w:marRight w:val="0"/>
                                                      <w:marTop w:val="0"/>
                                                      <w:marBottom w:val="0"/>
                                                      <w:divBdr>
                                                        <w:top w:val="none" w:sz="0" w:space="0" w:color="auto"/>
                                                        <w:left w:val="none" w:sz="0" w:space="0" w:color="auto"/>
                                                        <w:bottom w:val="none" w:sz="0" w:space="0" w:color="auto"/>
                                                        <w:right w:val="none" w:sz="0" w:space="0" w:color="auto"/>
                                                      </w:divBdr>
                                                      <w:divsChild>
                                                        <w:div w:id="1652325137">
                                                          <w:marLeft w:val="0"/>
                                                          <w:marRight w:val="0"/>
                                                          <w:marTop w:val="0"/>
                                                          <w:marBottom w:val="0"/>
                                                          <w:divBdr>
                                                            <w:top w:val="none" w:sz="0" w:space="0" w:color="auto"/>
                                                            <w:left w:val="none" w:sz="0" w:space="0" w:color="auto"/>
                                                            <w:bottom w:val="none" w:sz="0" w:space="0" w:color="auto"/>
                                                            <w:right w:val="none" w:sz="0" w:space="0" w:color="auto"/>
                                                          </w:divBdr>
                                                          <w:divsChild>
                                                            <w:div w:id="453445969">
                                                              <w:marLeft w:val="0"/>
                                                              <w:marRight w:val="0"/>
                                                              <w:marTop w:val="0"/>
                                                              <w:marBottom w:val="0"/>
                                                              <w:divBdr>
                                                                <w:top w:val="none" w:sz="0" w:space="0" w:color="auto"/>
                                                                <w:left w:val="none" w:sz="0" w:space="0" w:color="auto"/>
                                                                <w:bottom w:val="none" w:sz="0" w:space="0" w:color="auto"/>
                                                                <w:right w:val="none" w:sz="0" w:space="0" w:color="auto"/>
                                                              </w:divBdr>
                                                              <w:divsChild>
                                                                <w:div w:id="1465736362">
                                                                  <w:marLeft w:val="0"/>
                                                                  <w:marRight w:val="0"/>
                                                                  <w:marTop w:val="0"/>
                                                                  <w:marBottom w:val="0"/>
                                                                  <w:divBdr>
                                                                    <w:top w:val="none" w:sz="0" w:space="0" w:color="auto"/>
                                                                    <w:left w:val="none" w:sz="0" w:space="0" w:color="auto"/>
                                                                    <w:bottom w:val="none" w:sz="0" w:space="0" w:color="auto"/>
                                                                    <w:right w:val="none" w:sz="0" w:space="0" w:color="auto"/>
                                                                  </w:divBdr>
                                                                  <w:divsChild>
                                                                    <w:div w:id="303968515">
                                                                      <w:marLeft w:val="0"/>
                                                                      <w:marRight w:val="0"/>
                                                                      <w:marTop w:val="0"/>
                                                                      <w:marBottom w:val="0"/>
                                                                      <w:divBdr>
                                                                        <w:top w:val="none" w:sz="0" w:space="0" w:color="auto"/>
                                                                        <w:left w:val="none" w:sz="0" w:space="0" w:color="auto"/>
                                                                        <w:bottom w:val="none" w:sz="0" w:space="0" w:color="auto"/>
                                                                        <w:right w:val="none" w:sz="0" w:space="0" w:color="auto"/>
                                                                      </w:divBdr>
                                                                      <w:divsChild>
                                                                        <w:div w:id="2030639216">
                                                                          <w:marLeft w:val="0"/>
                                                                          <w:marRight w:val="0"/>
                                                                          <w:marTop w:val="0"/>
                                                                          <w:marBottom w:val="0"/>
                                                                          <w:divBdr>
                                                                            <w:top w:val="single" w:sz="6" w:space="4" w:color="CCCCCC"/>
                                                                            <w:left w:val="single" w:sz="6" w:space="4" w:color="CCCCCC"/>
                                                                            <w:bottom w:val="single" w:sz="6" w:space="4" w:color="CCCCCC"/>
                                                                            <w:right w:val="single" w:sz="6" w:space="4" w:color="CCCCCC"/>
                                                                          </w:divBdr>
                                                                          <w:divsChild>
                                                                            <w:div w:id="1328745763">
                                                                              <w:marLeft w:val="0"/>
                                                                              <w:marRight w:val="0"/>
                                                                              <w:marTop w:val="0"/>
                                                                              <w:marBottom w:val="0"/>
                                                                              <w:divBdr>
                                                                                <w:top w:val="none" w:sz="0" w:space="0" w:color="auto"/>
                                                                                <w:left w:val="none" w:sz="0" w:space="0" w:color="auto"/>
                                                                                <w:bottom w:val="none" w:sz="0" w:space="0" w:color="auto"/>
                                                                                <w:right w:val="none" w:sz="0" w:space="0" w:color="auto"/>
                                                                              </w:divBdr>
                                                                              <w:divsChild>
                                                                                <w:div w:id="1832675683">
                                                                                  <w:marLeft w:val="0"/>
                                                                                  <w:marRight w:val="0"/>
                                                                                  <w:marTop w:val="0"/>
                                                                                  <w:marBottom w:val="0"/>
                                                                                  <w:divBdr>
                                                                                    <w:top w:val="none" w:sz="0" w:space="0" w:color="auto"/>
                                                                                    <w:left w:val="none" w:sz="0" w:space="0" w:color="auto"/>
                                                                                    <w:bottom w:val="none" w:sz="0" w:space="0" w:color="auto"/>
                                                                                    <w:right w:val="none" w:sz="0" w:space="0" w:color="auto"/>
                                                                                  </w:divBdr>
                                                                                  <w:divsChild>
                                                                                    <w:div w:id="25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se-sgn.emptoris.com/emptoris/sso_login.js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53E7250299E45A50BFD1F443EE334" ma:contentTypeVersion="9" ma:contentTypeDescription="Create a new document." ma:contentTypeScope="" ma:versionID="777a2925ee14f28471e8de78ecd0b739">
  <xsd:schema xmlns:xsd="http://www.w3.org/2001/XMLSchema" xmlns:xs="http://www.w3.org/2001/XMLSchema" xmlns:p="http://schemas.microsoft.com/office/2006/metadata/properties" xmlns:ns2="a38a26ea-cc76-4c15-a167-0ddd328abd21" targetNamespace="http://schemas.microsoft.com/office/2006/metadata/properties" ma:root="true" ma:fieldsID="f3922fe53258b625b356a59a7ccee6d5" ns2:_="">
    <xsd:import namespace="a38a26ea-cc76-4c15-a167-0ddd328ab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a26ea-cc76-4c15-a167-0ddd328a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7F8A-E004-45BF-9802-09E24C97C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3416E-0263-4E8B-A4D9-7AFB48AD12E9}">
  <ds:schemaRefs>
    <ds:schemaRef ds:uri="http://schemas.microsoft.com/sharepoint/v3/contenttype/forms"/>
  </ds:schemaRefs>
</ds:datastoreItem>
</file>

<file path=customXml/itemProps3.xml><?xml version="1.0" encoding="utf-8"?>
<ds:datastoreItem xmlns:ds="http://schemas.openxmlformats.org/officeDocument/2006/customXml" ds:itemID="{05CFFB80-549D-49DB-B0DF-B0811F04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a26ea-cc76-4c15-a167-0ddd328a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C7192-03E0-4C4B-B23D-1C9CD73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RFI Instructions to Applicants - FO-PRS-EMP-054 - v1.1.docx</vt:lpstr>
    </vt:vector>
  </TitlesOfParts>
  <Company>SSE</Company>
  <LinksUpToDate>false</LinksUpToDate>
  <CharactersWithSpaces>16444</CharactersWithSpaces>
  <SharedDoc>false</SharedDoc>
  <HLinks>
    <vt:vector size="102" baseType="variant">
      <vt:variant>
        <vt:i4>6225962</vt:i4>
      </vt:variant>
      <vt:variant>
        <vt:i4>99</vt:i4>
      </vt:variant>
      <vt:variant>
        <vt:i4>0</vt:i4>
      </vt:variant>
      <vt:variant>
        <vt:i4>5</vt:i4>
      </vt:variant>
      <vt:variant>
        <vt:lpwstr>https://sse-sgn.emptoris.com/emptoris/sso_login.jsp</vt:lpwstr>
      </vt:variant>
      <vt:variant>
        <vt:lpwstr>/login/loginPage</vt:lpwstr>
      </vt:variant>
      <vt:variant>
        <vt:i4>1048628</vt:i4>
      </vt:variant>
      <vt:variant>
        <vt:i4>92</vt:i4>
      </vt:variant>
      <vt:variant>
        <vt:i4>0</vt:i4>
      </vt:variant>
      <vt:variant>
        <vt:i4>5</vt:i4>
      </vt:variant>
      <vt:variant>
        <vt:lpwstr/>
      </vt:variant>
      <vt:variant>
        <vt:lpwstr>_Toc51581957</vt:lpwstr>
      </vt:variant>
      <vt:variant>
        <vt:i4>1114164</vt:i4>
      </vt:variant>
      <vt:variant>
        <vt:i4>86</vt:i4>
      </vt:variant>
      <vt:variant>
        <vt:i4>0</vt:i4>
      </vt:variant>
      <vt:variant>
        <vt:i4>5</vt:i4>
      </vt:variant>
      <vt:variant>
        <vt:lpwstr/>
      </vt:variant>
      <vt:variant>
        <vt:lpwstr>_Toc51581956</vt:lpwstr>
      </vt:variant>
      <vt:variant>
        <vt:i4>1179700</vt:i4>
      </vt:variant>
      <vt:variant>
        <vt:i4>80</vt:i4>
      </vt:variant>
      <vt:variant>
        <vt:i4>0</vt:i4>
      </vt:variant>
      <vt:variant>
        <vt:i4>5</vt:i4>
      </vt:variant>
      <vt:variant>
        <vt:lpwstr/>
      </vt:variant>
      <vt:variant>
        <vt:lpwstr>_Toc51581955</vt:lpwstr>
      </vt:variant>
      <vt:variant>
        <vt:i4>1245236</vt:i4>
      </vt:variant>
      <vt:variant>
        <vt:i4>74</vt:i4>
      </vt:variant>
      <vt:variant>
        <vt:i4>0</vt:i4>
      </vt:variant>
      <vt:variant>
        <vt:i4>5</vt:i4>
      </vt:variant>
      <vt:variant>
        <vt:lpwstr/>
      </vt:variant>
      <vt:variant>
        <vt:lpwstr>_Toc51581954</vt:lpwstr>
      </vt:variant>
      <vt:variant>
        <vt:i4>1310772</vt:i4>
      </vt:variant>
      <vt:variant>
        <vt:i4>68</vt:i4>
      </vt:variant>
      <vt:variant>
        <vt:i4>0</vt:i4>
      </vt:variant>
      <vt:variant>
        <vt:i4>5</vt:i4>
      </vt:variant>
      <vt:variant>
        <vt:lpwstr/>
      </vt:variant>
      <vt:variant>
        <vt:lpwstr>_Toc51581953</vt:lpwstr>
      </vt:variant>
      <vt:variant>
        <vt:i4>1376308</vt:i4>
      </vt:variant>
      <vt:variant>
        <vt:i4>62</vt:i4>
      </vt:variant>
      <vt:variant>
        <vt:i4>0</vt:i4>
      </vt:variant>
      <vt:variant>
        <vt:i4>5</vt:i4>
      </vt:variant>
      <vt:variant>
        <vt:lpwstr/>
      </vt:variant>
      <vt:variant>
        <vt:lpwstr>_Toc51581952</vt:lpwstr>
      </vt:variant>
      <vt:variant>
        <vt:i4>1966133</vt:i4>
      </vt:variant>
      <vt:variant>
        <vt:i4>56</vt:i4>
      </vt:variant>
      <vt:variant>
        <vt:i4>0</vt:i4>
      </vt:variant>
      <vt:variant>
        <vt:i4>5</vt:i4>
      </vt:variant>
      <vt:variant>
        <vt:lpwstr/>
      </vt:variant>
      <vt:variant>
        <vt:lpwstr>_Toc51581949</vt:lpwstr>
      </vt:variant>
      <vt:variant>
        <vt:i4>2031669</vt:i4>
      </vt:variant>
      <vt:variant>
        <vt:i4>50</vt:i4>
      </vt:variant>
      <vt:variant>
        <vt:i4>0</vt:i4>
      </vt:variant>
      <vt:variant>
        <vt:i4>5</vt:i4>
      </vt:variant>
      <vt:variant>
        <vt:lpwstr/>
      </vt:variant>
      <vt:variant>
        <vt:lpwstr>_Toc51581948</vt:lpwstr>
      </vt:variant>
      <vt:variant>
        <vt:i4>1048629</vt:i4>
      </vt:variant>
      <vt:variant>
        <vt:i4>44</vt:i4>
      </vt:variant>
      <vt:variant>
        <vt:i4>0</vt:i4>
      </vt:variant>
      <vt:variant>
        <vt:i4>5</vt:i4>
      </vt:variant>
      <vt:variant>
        <vt:lpwstr/>
      </vt:variant>
      <vt:variant>
        <vt:lpwstr>_Toc51581947</vt:lpwstr>
      </vt:variant>
      <vt:variant>
        <vt:i4>1114165</vt:i4>
      </vt:variant>
      <vt:variant>
        <vt:i4>38</vt:i4>
      </vt:variant>
      <vt:variant>
        <vt:i4>0</vt:i4>
      </vt:variant>
      <vt:variant>
        <vt:i4>5</vt:i4>
      </vt:variant>
      <vt:variant>
        <vt:lpwstr/>
      </vt:variant>
      <vt:variant>
        <vt:lpwstr>_Toc51581946</vt:lpwstr>
      </vt:variant>
      <vt:variant>
        <vt:i4>1179701</vt:i4>
      </vt:variant>
      <vt:variant>
        <vt:i4>32</vt:i4>
      </vt:variant>
      <vt:variant>
        <vt:i4>0</vt:i4>
      </vt:variant>
      <vt:variant>
        <vt:i4>5</vt:i4>
      </vt:variant>
      <vt:variant>
        <vt:lpwstr/>
      </vt:variant>
      <vt:variant>
        <vt:lpwstr>_Toc51581945</vt:lpwstr>
      </vt:variant>
      <vt:variant>
        <vt:i4>1245237</vt:i4>
      </vt:variant>
      <vt:variant>
        <vt:i4>26</vt:i4>
      </vt:variant>
      <vt:variant>
        <vt:i4>0</vt:i4>
      </vt:variant>
      <vt:variant>
        <vt:i4>5</vt:i4>
      </vt:variant>
      <vt:variant>
        <vt:lpwstr/>
      </vt:variant>
      <vt:variant>
        <vt:lpwstr>_Toc51581944</vt:lpwstr>
      </vt:variant>
      <vt:variant>
        <vt:i4>1310773</vt:i4>
      </vt:variant>
      <vt:variant>
        <vt:i4>20</vt:i4>
      </vt:variant>
      <vt:variant>
        <vt:i4>0</vt:i4>
      </vt:variant>
      <vt:variant>
        <vt:i4>5</vt:i4>
      </vt:variant>
      <vt:variant>
        <vt:lpwstr/>
      </vt:variant>
      <vt:variant>
        <vt:lpwstr>_Toc51581943</vt:lpwstr>
      </vt:variant>
      <vt:variant>
        <vt:i4>1376309</vt:i4>
      </vt:variant>
      <vt:variant>
        <vt:i4>14</vt:i4>
      </vt:variant>
      <vt:variant>
        <vt:i4>0</vt:i4>
      </vt:variant>
      <vt:variant>
        <vt:i4>5</vt:i4>
      </vt:variant>
      <vt:variant>
        <vt:lpwstr/>
      </vt:variant>
      <vt:variant>
        <vt:lpwstr>_Toc51581942</vt:lpwstr>
      </vt:variant>
      <vt:variant>
        <vt:i4>1441845</vt:i4>
      </vt:variant>
      <vt:variant>
        <vt:i4>8</vt:i4>
      </vt:variant>
      <vt:variant>
        <vt:i4>0</vt:i4>
      </vt:variant>
      <vt:variant>
        <vt:i4>5</vt:i4>
      </vt:variant>
      <vt:variant>
        <vt:lpwstr/>
      </vt:variant>
      <vt:variant>
        <vt:lpwstr>_Toc51581941</vt:lpwstr>
      </vt:variant>
      <vt:variant>
        <vt:i4>1507381</vt:i4>
      </vt:variant>
      <vt:variant>
        <vt:i4>2</vt:i4>
      </vt:variant>
      <vt:variant>
        <vt:i4>0</vt:i4>
      </vt:variant>
      <vt:variant>
        <vt:i4>5</vt:i4>
      </vt:variant>
      <vt:variant>
        <vt:lpwstr/>
      </vt:variant>
      <vt:variant>
        <vt:lpwstr>_Toc51581940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Instructions to Applicants - FO-PRS-EMP-054 - v1.1.docx</dc:title>
  <dc:subject/>
  <dc:creator>Nagy, Magdolna</dc:creator>
  <cp:keywords/>
  <cp:lastModifiedBy>Nagy, Magdolna</cp:lastModifiedBy>
  <cp:revision>76</cp:revision>
  <cp:lastPrinted>2016-12-06T19:11:00Z</cp:lastPrinted>
  <dcterms:created xsi:type="dcterms:W3CDTF">2020-09-08T20:15:00Z</dcterms:created>
  <dcterms:modified xsi:type="dcterms:W3CDTF">2020-09-24T15:43:00Z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0x010100D5F53E7250299E45A50BFD1F443EE334</vt:lpwstr>
  </property>
</Properties>
</file>